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09DF906E" w:rsidR="00D309CC" w:rsidRPr="00B25345" w:rsidRDefault="00D309CC" w:rsidP="00D46431">
      <w:pPr>
        <w:pStyle w:val="CH"/>
      </w:pPr>
      <w:bookmarkStart w:id="0" w:name="historyclause"/>
      <w:r w:rsidRPr="00B25345">
        <w:t>3GPP RAN</w:t>
      </w:r>
      <w:r w:rsidR="00CF20E3" w:rsidRPr="00B25345">
        <w:t xml:space="preserve"> </w:t>
      </w:r>
      <w:r w:rsidRPr="00B25345">
        <w:t>WG</w:t>
      </w:r>
      <w:r w:rsidR="003C564B" w:rsidRPr="00B25345">
        <w:t>4</w:t>
      </w:r>
      <w:r w:rsidRPr="00B25345">
        <w:t xml:space="preserve"> Meeting #</w:t>
      </w:r>
      <w:r w:rsidR="003C564B" w:rsidRPr="00B25345">
        <w:t>9</w:t>
      </w:r>
      <w:r w:rsidR="00D3601F">
        <w:t>6</w:t>
      </w:r>
      <w:r w:rsidR="00B17447" w:rsidRPr="00B25345">
        <w:t>-e</w:t>
      </w:r>
      <w:r w:rsidRPr="00B25345">
        <w:tab/>
      </w:r>
      <w:r w:rsidR="00D46431" w:rsidRPr="00B25345">
        <w:tab/>
      </w:r>
      <w:r w:rsidR="002A4617" w:rsidRPr="002A4617">
        <w:t>R4-2016297</w:t>
      </w:r>
      <w:bookmarkStart w:id="1" w:name="_GoBack"/>
      <w:bookmarkEnd w:id="1"/>
    </w:p>
    <w:p w14:paraId="50DC9730" w14:textId="3F1E4EBC" w:rsidR="00D309CC" w:rsidRPr="00B25345" w:rsidRDefault="00B17447" w:rsidP="00D46431">
      <w:pPr>
        <w:pStyle w:val="CH"/>
        <w:tabs>
          <w:tab w:val="clear" w:pos="7920"/>
        </w:tabs>
        <w:rPr>
          <w:b w:val="0"/>
        </w:rPr>
      </w:pPr>
      <w:r w:rsidRPr="00B25345">
        <w:t>Electronic Meeting</w:t>
      </w:r>
      <w:r w:rsidR="00D309CC" w:rsidRPr="00B25345">
        <w:t xml:space="preserve">, </w:t>
      </w:r>
      <w:r w:rsidR="001E41C1">
        <w:t>02</w:t>
      </w:r>
      <w:r w:rsidR="001E41C1">
        <w:rPr>
          <w:vertAlign w:val="superscript"/>
        </w:rPr>
        <w:t>nd</w:t>
      </w:r>
      <w:r w:rsidRPr="00B25345">
        <w:t xml:space="preserve"> – </w:t>
      </w:r>
      <w:r w:rsidR="001E41C1">
        <w:t>13</w:t>
      </w:r>
      <w:r w:rsidRPr="00B25345">
        <w:rPr>
          <w:vertAlign w:val="superscript"/>
        </w:rPr>
        <w:t>th</w:t>
      </w:r>
      <w:r w:rsidRPr="00B25345">
        <w:t xml:space="preserve"> </w:t>
      </w:r>
      <w:r w:rsidR="001E41C1">
        <w:t xml:space="preserve">November </w:t>
      </w:r>
      <w:r w:rsidR="003C564B" w:rsidRPr="00B25345">
        <w:t>20</w:t>
      </w:r>
      <w:r w:rsidRPr="00B25345">
        <w:t>20</w:t>
      </w:r>
      <w:r w:rsidR="00D46431" w:rsidRPr="00B25345">
        <w:tab/>
      </w:r>
    </w:p>
    <w:p w14:paraId="39A0EE25" w14:textId="77777777" w:rsidR="00D309CC" w:rsidRPr="00B25345" w:rsidRDefault="00D309CC" w:rsidP="00D309CC">
      <w:pPr>
        <w:tabs>
          <w:tab w:val="left" w:pos="2160"/>
        </w:tabs>
        <w:rPr>
          <w:rFonts w:ascii="Arial" w:hAnsi="Arial" w:cs="Arial"/>
          <w:b/>
        </w:rPr>
      </w:pPr>
    </w:p>
    <w:p w14:paraId="6DDCE159" w14:textId="5D7F9A22" w:rsidR="00D309CC" w:rsidRPr="001E41C1" w:rsidRDefault="00D309CC" w:rsidP="00D309CC">
      <w:pPr>
        <w:pStyle w:val="CH"/>
        <w:rPr>
          <w:b w:val="0"/>
        </w:rPr>
      </w:pPr>
      <w:r w:rsidRPr="001E41C1">
        <w:t>Agenda item:</w:t>
      </w:r>
      <w:r w:rsidRPr="001E41C1">
        <w:tab/>
      </w:r>
      <w:r w:rsidR="00AB45B0" w:rsidRPr="001E41C1">
        <w:t>1</w:t>
      </w:r>
      <w:r w:rsidR="001E41C1" w:rsidRPr="001E41C1">
        <w:t>7</w:t>
      </w:r>
      <w:r w:rsidR="00AB45B0" w:rsidRPr="001E41C1">
        <w:t>.1</w:t>
      </w:r>
    </w:p>
    <w:p w14:paraId="4DBE005A" w14:textId="77AD1540" w:rsidR="00D309CC" w:rsidRPr="004E2B61" w:rsidRDefault="00D309CC" w:rsidP="00D309CC">
      <w:pPr>
        <w:pStyle w:val="CH"/>
        <w:rPr>
          <w:b w:val="0"/>
        </w:rPr>
      </w:pPr>
      <w:r w:rsidRPr="004E2B61">
        <w:t>Source:</w:t>
      </w:r>
      <w:r w:rsidRPr="004E2B61">
        <w:tab/>
        <w:t>Apple</w:t>
      </w:r>
    </w:p>
    <w:p w14:paraId="0D2061A1" w14:textId="7570CF1F" w:rsidR="00D309CC" w:rsidRPr="004E2B61" w:rsidRDefault="00D309CC" w:rsidP="00D309CC">
      <w:pPr>
        <w:pStyle w:val="CH"/>
      </w:pPr>
      <w:r w:rsidRPr="004E2B61">
        <w:t>Title:</w:t>
      </w:r>
      <w:r w:rsidRPr="004E2B61">
        <w:tab/>
      </w:r>
      <w:r w:rsidR="00871E3D">
        <w:t>CA/DC Band configurations notations and usage in 3GPP</w:t>
      </w:r>
    </w:p>
    <w:p w14:paraId="2E4E044D" w14:textId="45394524" w:rsidR="00D309CC" w:rsidRPr="004E2B61" w:rsidRDefault="00D309CC" w:rsidP="00D309CC">
      <w:pPr>
        <w:pStyle w:val="CH"/>
      </w:pPr>
      <w:r w:rsidRPr="004E2B61">
        <w:t>Document for:</w:t>
      </w:r>
      <w:r w:rsidRPr="004E2B61">
        <w:tab/>
      </w:r>
      <w:r w:rsidR="0009755D" w:rsidRPr="004E2B61">
        <w:t>Approval</w:t>
      </w:r>
    </w:p>
    <w:p w14:paraId="0207DB43" w14:textId="77777777" w:rsidR="00D46431" w:rsidRPr="00B51F12" w:rsidRDefault="00D46431" w:rsidP="00D309CC">
      <w:pPr>
        <w:pStyle w:val="CH"/>
        <w:rPr>
          <w:b w:val="0"/>
          <w:color w:val="FF0000"/>
        </w:rPr>
      </w:pPr>
    </w:p>
    <w:p w14:paraId="0273524A" w14:textId="77777777" w:rsidR="008E7986" w:rsidRPr="00F13367" w:rsidRDefault="008E7986" w:rsidP="008E7986">
      <w:pPr>
        <w:pStyle w:val="Heading1"/>
      </w:pPr>
      <w:r w:rsidRPr="00F13367">
        <w:t>1</w:t>
      </w:r>
      <w:r w:rsidRPr="00F13367">
        <w:tab/>
        <w:t xml:space="preserve">Introduction </w:t>
      </w:r>
    </w:p>
    <w:p w14:paraId="5084E723" w14:textId="08BF5326" w:rsidR="00F13367" w:rsidRDefault="00F13367" w:rsidP="0075242E">
      <w:r w:rsidRPr="00F13367">
        <w:t xml:space="preserve">Since several meetings RAN4 is discussing a simplification of the band combinations tables in the 38.101 specs. Meanwhile there are about </w:t>
      </w:r>
      <w:r w:rsidR="00254F29">
        <w:t>7799</w:t>
      </w:r>
      <w:r w:rsidRPr="00F13367">
        <w:t xml:space="preserve"> band combinations in these tables and it is very difficult to keep track of all specified combinations. </w:t>
      </w:r>
      <w:r w:rsidR="001E41C1">
        <w:t>As there have been many bugs in the specifications as well as the combination request sheets and the WIDs, this paper summarizes the notation and the procedures for</w:t>
      </w:r>
      <w:r w:rsidR="001439D6">
        <w:t xml:space="preserve"> adding band combinations to specs and WIDs as a reference for future RAN4 work to improve the quality of the specs and WIDs.</w:t>
      </w:r>
    </w:p>
    <w:p w14:paraId="2EE58BE8" w14:textId="74B96179" w:rsidR="00991F35" w:rsidRDefault="00991F35" w:rsidP="0075242E">
      <w:r>
        <w:t>Also MCC is working on a solution to simplify the spec tables using .CSV files, which also has a prerequisite to use the correct notations.</w:t>
      </w:r>
    </w:p>
    <w:p w14:paraId="119A5944" w14:textId="503F81F9" w:rsidR="00991F35" w:rsidRPr="00F13367" w:rsidRDefault="00991F35" w:rsidP="0075242E">
      <w:r>
        <w:t>All these notations and rules have been already discussed and agreed previously and are just summarized here.</w:t>
      </w:r>
    </w:p>
    <w:p w14:paraId="3A67921B" w14:textId="510097B2" w:rsidR="008E7986" w:rsidRPr="00F62676" w:rsidRDefault="008E7986" w:rsidP="008E7986">
      <w:pPr>
        <w:pStyle w:val="Heading1"/>
      </w:pPr>
      <w:r w:rsidRPr="00F62676">
        <w:t>2</w:t>
      </w:r>
      <w:r w:rsidRPr="00F62676">
        <w:tab/>
      </w:r>
      <w:r w:rsidR="001439D6" w:rsidRPr="00F62676">
        <w:t>Notation of band combinations</w:t>
      </w:r>
    </w:p>
    <w:p w14:paraId="0A8E181F" w14:textId="3E6A95A2" w:rsidR="00254F29" w:rsidRDefault="00D16B3A" w:rsidP="0009755D">
      <w:r w:rsidRPr="00F62676">
        <w:t xml:space="preserve">The </w:t>
      </w:r>
      <w:r w:rsidR="00254F29" w:rsidRPr="00F62676">
        <w:t>correct notation of the band combinations is a real problem in the 38.101 specs as well as the combination request lists by the operators and the basket WIDs. If there are bugs in the notation, it is unclear what combination is really meant in the request or spec. Then the combination may be misinterpreted, not taken into account when implementing combinations in BS or UEs or even removed from specs or requests.</w:t>
      </w:r>
      <w:r w:rsidR="00991F35">
        <w:t xml:space="preserve"> Also automated processing of the tables will become difficult with too many bugs.</w:t>
      </w:r>
    </w:p>
    <w:p w14:paraId="19FB3FAC" w14:textId="58B97676" w:rsidR="00991F35" w:rsidRPr="00F62676" w:rsidRDefault="00991F35" w:rsidP="0009755D">
      <w:r>
        <w:t>Generally the notation of band combinations starts with the type of the configuration (mainly CA or DC), followed by one list (either LTE or NR) or two lists (first LTE, then NR) of bands with bandwidths</w:t>
      </w:r>
      <w:r w:rsidR="00895B5E">
        <w:t>.</w:t>
      </w:r>
    </w:p>
    <w:p w14:paraId="72BB46CE" w14:textId="566127DD" w:rsidR="00254F29" w:rsidRPr="00F62676" w:rsidRDefault="00254F29" w:rsidP="00BF7222">
      <w:pPr>
        <w:pStyle w:val="Heading4"/>
      </w:pPr>
      <w:r w:rsidRPr="00F62676">
        <w:t>2.1 Types of band combinations</w:t>
      </w:r>
    </w:p>
    <w:p w14:paraId="1BFA3DE8" w14:textId="48FF635D" w:rsidR="00254F29" w:rsidRPr="00F62676" w:rsidRDefault="00BF7222" w:rsidP="0009755D">
      <w:r w:rsidRPr="00F62676">
        <w:t>We have the following types of band combinations:</w:t>
      </w:r>
    </w:p>
    <w:p w14:paraId="024EE701" w14:textId="214CCFD6" w:rsidR="00BF7222" w:rsidRPr="00F62676" w:rsidRDefault="00BF7222" w:rsidP="0009755D">
      <w:r w:rsidRPr="00F62676">
        <w:t xml:space="preserve">Carrier Aggregation: Starts with “CA_” as the first three characters. Then either </w:t>
      </w:r>
      <w:r w:rsidR="00A85926" w:rsidRPr="00F62676">
        <w:t xml:space="preserve">a list of </w:t>
      </w:r>
      <w:r w:rsidRPr="00F62676">
        <w:t xml:space="preserve">LTE or NR carriers </w:t>
      </w:r>
      <w:r w:rsidR="00A85926" w:rsidRPr="00F62676">
        <w:t>is</w:t>
      </w:r>
      <w:r w:rsidRPr="00F62676">
        <w:t xml:space="preserve"> following, where the carriers or bands are always</w:t>
      </w:r>
      <w:r w:rsidR="00A85926" w:rsidRPr="00F62676">
        <w:t xml:space="preserve"> </w:t>
      </w:r>
      <w:r w:rsidRPr="00F62676">
        <w:t>separated by “-“</w:t>
      </w:r>
      <w:r w:rsidR="00A85926" w:rsidRPr="00F62676">
        <w:t>. LTE and NR carriers cannot be combined, that would be a DC combination.</w:t>
      </w:r>
      <w:r w:rsidR="000020BF" w:rsidRPr="00F62676">
        <w:t xml:space="preserve"> Examples:</w:t>
      </w:r>
    </w:p>
    <w:p w14:paraId="7B8B233A" w14:textId="457AC7E1" w:rsidR="000020BF" w:rsidRPr="00F62676" w:rsidRDefault="000020BF" w:rsidP="000020BF">
      <w:pPr>
        <w:pStyle w:val="ListParagraph"/>
        <w:numPr>
          <w:ilvl w:val="0"/>
          <w:numId w:val="21"/>
        </w:numPr>
      </w:pPr>
      <w:r w:rsidRPr="00F62676">
        <w:t>CA_1A-2A (LTE)</w:t>
      </w:r>
    </w:p>
    <w:p w14:paraId="1252EF2A" w14:textId="6F43A3F8" w:rsidR="000020BF" w:rsidRPr="00F62676" w:rsidRDefault="000020BF" w:rsidP="000020BF">
      <w:pPr>
        <w:pStyle w:val="ListParagraph"/>
        <w:numPr>
          <w:ilvl w:val="0"/>
          <w:numId w:val="21"/>
        </w:numPr>
      </w:pPr>
      <w:r w:rsidRPr="00F62676">
        <w:t>CA_n1A-n2A (NR)</w:t>
      </w:r>
    </w:p>
    <w:p w14:paraId="10F64EB8" w14:textId="5CBE8D7E" w:rsidR="000020BF" w:rsidRPr="00F62676" w:rsidRDefault="000020BF" w:rsidP="000020BF">
      <w:pPr>
        <w:pStyle w:val="ListParagraph"/>
        <w:numPr>
          <w:ilvl w:val="0"/>
          <w:numId w:val="21"/>
        </w:numPr>
      </w:pPr>
      <w:r w:rsidRPr="00F62676">
        <w:t xml:space="preserve">Examples for </w:t>
      </w:r>
      <w:r w:rsidR="005908F0" w:rsidRPr="00F62676">
        <w:t>wrong</w:t>
      </w:r>
      <w:r w:rsidRPr="00F62676">
        <w:t xml:space="preserve"> notation</w:t>
      </w:r>
      <w:r w:rsidR="005908F0" w:rsidRPr="00F62676">
        <w:t>s</w:t>
      </w:r>
      <w:r w:rsidRPr="00F62676">
        <w:t>: CA_1A_2A (“_” instead of “-“ between the carriers/bands), CA-1A-2A (no “_” but “-“ after “CA”, CA_1A_n2A (this would need to be a DC combination)</w:t>
      </w:r>
    </w:p>
    <w:p w14:paraId="7001353B" w14:textId="77777777" w:rsidR="000020BF" w:rsidRPr="00F62676" w:rsidRDefault="000020BF" w:rsidP="0009755D"/>
    <w:p w14:paraId="0893D4A2" w14:textId="3B9337DD" w:rsidR="00BF7222" w:rsidRPr="00F62676" w:rsidRDefault="00BF7222" w:rsidP="0009755D">
      <w:r w:rsidRPr="00F62676">
        <w:t xml:space="preserve">Dual Connectivity: Starts with “DC_” as the first three characters, then </w:t>
      </w:r>
      <w:r w:rsidR="000020BF" w:rsidRPr="00F62676">
        <w:t xml:space="preserve">for EN-DC configurations </w:t>
      </w:r>
      <w:r w:rsidRPr="00F62676">
        <w:t xml:space="preserve">followed by the </w:t>
      </w:r>
      <w:r w:rsidR="00A85926" w:rsidRPr="00F62676">
        <w:t xml:space="preserve">list of </w:t>
      </w:r>
      <w:r w:rsidRPr="00F62676">
        <w:t xml:space="preserve">LTE carriers, a “_” as separation between the LTE and NR carriers and then the </w:t>
      </w:r>
      <w:r w:rsidR="00A85926" w:rsidRPr="00F62676">
        <w:t xml:space="preserve">list of </w:t>
      </w:r>
      <w:r w:rsidRPr="00F62676">
        <w:t>NR carriers</w:t>
      </w:r>
      <w:r w:rsidR="00A85926" w:rsidRPr="00F62676">
        <w:t xml:space="preserve">. There are exceptions for SUL </w:t>
      </w:r>
      <w:r w:rsidR="000020BF" w:rsidRPr="00F62676">
        <w:t>EN-</w:t>
      </w:r>
      <w:r w:rsidR="00A85926" w:rsidRPr="00F62676">
        <w:t>DC combinations, which separate</w:t>
      </w:r>
      <w:r w:rsidR="00307ABC" w:rsidRPr="00F62676">
        <w:t xml:space="preserve"> the LTE and NR carriers</w:t>
      </w:r>
      <w:r w:rsidR="00A85926" w:rsidRPr="00F62676">
        <w:t xml:space="preserve"> by “</w:t>
      </w:r>
      <w:r w:rsidR="00895B5E" w:rsidRPr="00895B5E">
        <w:t>_</w:t>
      </w:r>
      <w:r w:rsidR="00A85926" w:rsidRPr="00F62676">
        <w:t xml:space="preserve">SUL_” instead of “_”, and contiguous intra-band </w:t>
      </w:r>
      <w:r w:rsidR="000020BF" w:rsidRPr="00F62676">
        <w:t>EN-</w:t>
      </w:r>
      <w:r w:rsidR="00A85926" w:rsidRPr="00F62676">
        <w:t>DC combinations using “(n)” instead of “_” and the “n” of the first NR band in the list</w:t>
      </w:r>
      <w:r w:rsidR="00895B5E">
        <w:t>, as discussed in the next chapter</w:t>
      </w:r>
      <w:r w:rsidR="000020BF" w:rsidRPr="00F62676">
        <w:t>. DC configurations within LTE or NR just list the carriers after “DC_”</w:t>
      </w:r>
      <w:r w:rsidR="00307ABC" w:rsidRPr="00F62676">
        <w:t>. For EN_DC combinations for V2X the “DC_” at the beginning is replaced by V2X_”, even if it is still a EN-DC combination. Examples:</w:t>
      </w:r>
    </w:p>
    <w:p w14:paraId="361BCF97" w14:textId="1BB48219" w:rsidR="000020BF" w:rsidRPr="00F62676" w:rsidRDefault="000020BF" w:rsidP="000020BF">
      <w:pPr>
        <w:pStyle w:val="ListParagraph"/>
        <w:numPr>
          <w:ilvl w:val="0"/>
          <w:numId w:val="21"/>
        </w:numPr>
      </w:pPr>
      <w:r w:rsidRPr="00F62676">
        <w:t>DC_1A_n2A (</w:t>
      </w:r>
      <w:r w:rsidR="00067C7B" w:rsidRPr="00F62676">
        <w:t>EN-DC</w:t>
      </w:r>
      <w:r w:rsidRPr="00F62676">
        <w:t>)</w:t>
      </w:r>
    </w:p>
    <w:p w14:paraId="515BC8BE" w14:textId="1B4484BA" w:rsidR="00067C7B" w:rsidRPr="00F62676" w:rsidRDefault="00067C7B" w:rsidP="00067C7B">
      <w:pPr>
        <w:pStyle w:val="ListParagraph"/>
        <w:numPr>
          <w:ilvl w:val="0"/>
          <w:numId w:val="21"/>
        </w:numPr>
      </w:pPr>
      <w:r w:rsidRPr="00F62676">
        <w:t>DC_1A-2A (LTE-DC)</w:t>
      </w:r>
    </w:p>
    <w:p w14:paraId="63F7B376" w14:textId="7C757FA5" w:rsidR="000020BF" w:rsidRPr="00F62676" w:rsidRDefault="00067C7B" w:rsidP="000020BF">
      <w:pPr>
        <w:pStyle w:val="ListParagraph"/>
        <w:numPr>
          <w:ilvl w:val="0"/>
          <w:numId w:val="21"/>
        </w:numPr>
      </w:pPr>
      <w:r w:rsidRPr="00F62676">
        <w:lastRenderedPageBreak/>
        <w:t>DC</w:t>
      </w:r>
      <w:r w:rsidR="000020BF" w:rsidRPr="00F62676">
        <w:t>_n1A-n2A (NR</w:t>
      </w:r>
      <w:r w:rsidRPr="00F62676">
        <w:t>-DC</w:t>
      </w:r>
      <w:r w:rsidR="000020BF" w:rsidRPr="00F62676">
        <w:t>)</w:t>
      </w:r>
    </w:p>
    <w:p w14:paraId="42AECE4F" w14:textId="3E300175" w:rsidR="00067C7B" w:rsidRPr="00F62676" w:rsidRDefault="00067C7B" w:rsidP="000020BF">
      <w:pPr>
        <w:pStyle w:val="ListParagraph"/>
        <w:numPr>
          <w:ilvl w:val="0"/>
          <w:numId w:val="21"/>
        </w:numPr>
      </w:pPr>
      <w:r w:rsidRPr="00F62676">
        <w:t>DC_(n)1AA</w:t>
      </w:r>
      <w:r w:rsidR="00307ABC" w:rsidRPr="00F62676">
        <w:t xml:space="preserve"> (EN-DC with contiguous </w:t>
      </w:r>
      <w:r w:rsidR="00895B5E">
        <w:t xml:space="preserve">intra-band </w:t>
      </w:r>
      <w:r w:rsidR="00307ABC" w:rsidRPr="00F62676">
        <w:t>LTE and NR carriers)</w:t>
      </w:r>
    </w:p>
    <w:p w14:paraId="11B9A30A" w14:textId="0ABA3DD7" w:rsidR="002D655D" w:rsidRPr="00F62676" w:rsidRDefault="002D655D" w:rsidP="002D655D">
      <w:pPr>
        <w:pStyle w:val="ListParagraph"/>
        <w:numPr>
          <w:ilvl w:val="0"/>
          <w:numId w:val="21"/>
        </w:numPr>
      </w:pPr>
      <w:r w:rsidRPr="00F62676">
        <w:t xml:space="preserve">DC_1A-(n)2AA (EN-DC with one LTE carrier followed by contiguous </w:t>
      </w:r>
      <w:r w:rsidR="00895B5E">
        <w:t xml:space="preserve">intra-band </w:t>
      </w:r>
      <w:r w:rsidRPr="00F62676">
        <w:t>LTE and NR carriers)</w:t>
      </w:r>
    </w:p>
    <w:p w14:paraId="30ACAD61" w14:textId="0F62B6AB" w:rsidR="000020BF" w:rsidRPr="00F62676" w:rsidRDefault="000020BF" w:rsidP="000020BF">
      <w:pPr>
        <w:pStyle w:val="ListParagraph"/>
        <w:numPr>
          <w:ilvl w:val="0"/>
          <w:numId w:val="21"/>
        </w:numPr>
      </w:pPr>
      <w:r w:rsidRPr="00F62676">
        <w:t xml:space="preserve">Examples for </w:t>
      </w:r>
      <w:r w:rsidR="005908F0" w:rsidRPr="00F62676">
        <w:t>wrong</w:t>
      </w:r>
      <w:r w:rsidRPr="00F62676">
        <w:t xml:space="preserve"> notation</w:t>
      </w:r>
      <w:r w:rsidR="005908F0" w:rsidRPr="00F62676">
        <w:t>s</w:t>
      </w:r>
      <w:r w:rsidRPr="00F62676">
        <w:t xml:space="preserve">: </w:t>
      </w:r>
      <w:r w:rsidR="00067C7B" w:rsidRPr="00F62676">
        <w:t>DC</w:t>
      </w:r>
      <w:r w:rsidRPr="00F62676">
        <w:t>_1A</w:t>
      </w:r>
      <w:r w:rsidR="00067C7B" w:rsidRPr="00F62676">
        <w:t>-n</w:t>
      </w:r>
      <w:r w:rsidRPr="00F62676">
        <w:t>2A (“</w:t>
      </w:r>
      <w:r w:rsidR="00067C7B" w:rsidRPr="00F62676">
        <w:t>-</w:t>
      </w:r>
      <w:r w:rsidRPr="00F62676">
        <w:t>” instead of “</w:t>
      </w:r>
      <w:r w:rsidR="00067C7B" w:rsidRPr="00F62676">
        <w:t>_</w:t>
      </w:r>
      <w:r w:rsidRPr="00F62676">
        <w:t xml:space="preserve">“ between the </w:t>
      </w:r>
      <w:r w:rsidR="00067C7B" w:rsidRPr="00F62676">
        <w:t xml:space="preserve">LTE and NR </w:t>
      </w:r>
      <w:r w:rsidRPr="00F62676">
        <w:t>carriers/bands</w:t>
      </w:r>
      <w:r w:rsidR="00B36F08" w:rsidRPr="00F62676">
        <w:t xml:space="preserve"> for EN-DC combinations</w:t>
      </w:r>
      <w:r w:rsidRPr="00F62676">
        <w:t xml:space="preserve">), </w:t>
      </w:r>
      <w:r w:rsidR="00067C7B" w:rsidRPr="00F62676">
        <w:t>D</w:t>
      </w:r>
      <w:r w:rsidRPr="00F62676">
        <w:t>C-1A-2A (no “_” but “-“ after “</w:t>
      </w:r>
      <w:r w:rsidR="00067C7B" w:rsidRPr="00F62676">
        <w:t>D</w:t>
      </w:r>
      <w:r w:rsidRPr="00F62676">
        <w:t xml:space="preserve">C”, </w:t>
      </w:r>
      <w:r w:rsidR="00161EF5" w:rsidRPr="00F62676">
        <w:t>D</w:t>
      </w:r>
      <w:r w:rsidRPr="00F62676">
        <w:t>C_</w:t>
      </w:r>
      <w:r w:rsidR="00161EF5" w:rsidRPr="00F62676">
        <w:t>n</w:t>
      </w:r>
      <w:r w:rsidRPr="00F62676">
        <w:t xml:space="preserve">1A_n2A </w:t>
      </w:r>
      <w:r w:rsidR="00B36F08" w:rsidRPr="00F62676">
        <w:t>(“_” instead of “-“ between the NR carriers/bands for NR-DC combinations)</w:t>
      </w:r>
    </w:p>
    <w:p w14:paraId="19B0FE63" w14:textId="77777777" w:rsidR="000020BF" w:rsidRPr="00F62676" w:rsidRDefault="000020BF" w:rsidP="0009755D"/>
    <w:p w14:paraId="1FEDC5EA" w14:textId="44D0D5FC" w:rsidR="00BF7222" w:rsidRPr="00F62676" w:rsidRDefault="00BF7222" w:rsidP="0009755D">
      <w:r w:rsidRPr="00F62676">
        <w:t xml:space="preserve">Supplementary UL: </w:t>
      </w:r>
      <w:r w:rsidR="00307ABC" w:rsidRPr="00F62676">
        <w:t>NR SA configurations st</w:t>
      </w:r>
      <w:r w:rsidRPr="00F62676">
        <w:t xml:space="preserve">art with SUL_ as the first four characters, </w:t>
      </w:r>
      <w:r w:rsidR="00307ABC" w:rsidRPr="00F62676">
        <w:t xml:space="preserve">as it is only </w:t>
      </w:r>
      <w:r w:rsidR="000020BF" w:rsidRPr="00F62676">
        <w:t>NR</w:t>
      </w:r>
      <w:r w:rsidRPr="00F62676">
        <w:t xml:space="preserve"> without LTE, if it is within a</w:t>
      </w:r>
      <w:r w:rsidR="00307ABC" w:rsidRPr="00F62676">
        <w:t>n</w:t>
      </w:r>
      <w:r w:rsidRPr="00F62676">
        <w:t xml:space="preserve"> </w:t>
      </w:r>
      <w:r w:rsidR="000020BF" w:rsidRPr="00F62676">
        <w:t>EN-</w:t>
      </w:r>
      <w:r w:rsidRPr="00F62676">
        <w:t xml:space="preserve">DC combination there is a _SUL_ between the LTE and the NR part </w:t>
      </w:r>
      <w:r w:rsidR="000020BF" w:rsidRPr="00F62676">
        <w:t>instead of the “SUL_” at the beginning</w:t>
      </w:r>
      <w:r w:rsidR="00307ABC" w:rsidRPr="00F62676">
        <w:t>, using the usual “DC_” as the first characters. Examples:</w:t>
      </w:r>
    </w:p>
    <w:p w14:paraId="0565230C" w14:textId="3A4450E9" w:rsidR="00B654AB" w:rsidRPr="00F62676" w:rsidRDefault="00B654AB" w:rsidP="00B654AB">
      <w:pPr>
        <w:pStyle w:val="ListParagraph"/>
        <w:numPr>
          <w:ilvl w:val="0"/>
          <w:numId w:val="21"/>
        </w:numPr>
      </w:pPr>
      <w:r w:rsidRPr="00F62676">
        <w:t>SUL_n</w:t>
      </w:r>
      <w:r w:rsidR="00307ABC" w:rsidRPr="00F62676">
        <w:t>2</w:t>
      </w:r>
      <w:r w:rsidRPr="00F62676">
        <w:t>A-n</w:t>
      </w:r>
      <w:r w:rsidR="00307ABC" w:rsidRPr="00F62676">
        <w:t>80</w:t>
      </w:r>
      <w:r w:rsidRPr="00F62676">
        <w:t>A</w:t>
      </w:r>
      <w:r w:rsidR="00307ABC" w:rsidRPr="00F62676">
        <w:t xml:space="preserve"> (n80 being the SUL band)</w:t>
      </w:r>
    </w:p>
    <w:p w14:paraId="22945027" w14:textId="40307519" w:rsidR="00307ABC" w:rsidRPr="00F62676" w:rsidRDefault="00307ABC" w:rsidP="00B654AB">
      <w:pPr>
        <w:pStyle w:val="ListParagraph"/>
        <w:numPr>
          <w:ilvl w:val="0"/>
          <w:numId w:val="21"/>
        </w:numPr>
      </w:pPr>
      <w:r w:rsidRPr="00F62676">
        <w:t>DC_1A_SUL_n2A-n80A (n80 being the SUL band)</w:t>
      </w:r>
    </w:p>
    <w:p w14:paraId="1E092649" w14:textId="2C51066E" w:rsidR="004D1925" w:rsidRPr="00F62676" w:rsidRDefault="004D1925" w:rsidP="004D1925">
      <w:r w:rsidRPr="00F62676">
        <w:t>In summary we have these types and notations:</w:t>
      </w:r>
    </w:p>
    <w:p w14:paraId="57EAF656" w14:textId="4E7309E8" w:rsidR="004D1925" w:rsidRPr="00F62676" w:rsidRDefault="004D1925" w:rsidP="004D1925">
      <w:pPr>
        <w:pStyle w:val="ListParagraph"/>
        <w:numPr>
          <w:ilvl w:val="0"/>
          <w:numId w:val="21"/>
        </w:numPr>
      </w:pPr>
      <w:r w:rsidRPr="00F62676">
        <w:t>CA_ …: A Carrier Aggregation configuration followed by the list of either LTE or NR carriers</w:t>
      </w:r>
    </w:p>
    <w:p w14:paraId="21CD2572" w14:textId="14A1051F" w:rsidR="004D1925" w:rsidRPr="00F62676" w:rsidRDefault="004D1925" w:rsidP="004D1925">
      <w:pPr>
        <w:pStyle w:val="ListParagraph"/>
        <w:numPr>
          <w:ilvl w:val="0"/>
          <w:numId w:val="21"/>
        </w:numPr>
      </w:pPr>
      <w:r w:rsidRPr="00F62676">
        <w:t xml:space="preserve">DC_ …: A Dual Connectivity configuration followed by the list of either LTE carriers </w:t>
      </w:r>
      <w:r w:rsidR="004C0E2D" w:rsidRPr="00F62676">
        <w:t xml:space="preserve">for LTE-DC </w:t>
      </w:r>
      <w:r w:rsidRPr="00F62676">
        <w:t>or NR carriers</w:t>
      </w:r>
      <w:r w:rsidR="004C0E2D" w:rsidRPr="00F62676">
        <w:t xml:space="preserve"> for NR-DC</w:t>
      </w:r>
      <w:r w:rsidRPr="00F62676">
        <w:t xml:space="preserve"> or </w:t>
      </w:r>
      <w:r w:rsidR="004C0E2D" w:rsidRPr="00F62676">
        <w:t xml:space="preserve">for EN-DC </w:t>
      </w:r>
      <w:r w:rsidR="00895B5E">
        <w:t xml:space="preserve">first </w:t>
      </w:r>
      <w:r w:rsidRPr="00F62676">
        <w:t xml:space="preserve">LTE carriers, </w:t>
      </w:r>
      <w:r w:rsidR="00895B5E">
        <w:t xml:space="preserve">then </w:t>
      </w:r>
      <w:r w:rsidRPr="00F62676">
        <w:t xml:space="preserve">“_”  and </w:t>
      </w:r>
      <w:r w:rsidR="00895B5E">
        <w:t xml:space="preserve">the </w:t>
      </w:r>
      <w:r w:rsidRPr="00F62676">
        <w:t>NR carriers</w:t>
      </w:r>
      <w:r w:rsidR="004C0E2D" w:rsidRPr="00F62676">
        <w:t>. In case of a DC combination for V2X, the “DC_” is replaced with “V2X_”.</w:t>
      </w:r>
    </w:p>
    <w:p w14:paraId="10851564" w14:textId="662A72B8" w:rsidR="004D1925" w:rsidRPr="00F62676" w:rsidRDefault="004D1925" w:rsidP="004D1925">
      <w:pPr>
        <w:pStyle w:val="ListParagraph"/>
        <w:numPr>
          <w:ilvl w:val="0"/>
          <w:numId w:val="21"/>
        </w:numPr>
      </w:pPr>
      <w:r w:rsidRPr="00F62676">
        <w:t xml:space="preserve">SUL_ …: A Carrier Aggregation configuration including one SUL band followed by the list of NR carriers, one of them being a SUL carrier. In case of a DC configuration with SUL, the </w:t>
      </w:r>
      <w:r w:rsidR="004C0E2D" w:rsidRPr="00F62676">
        <w:t>“</w:t>
      </w:r>
      <w:r w:rsidRPr="00F62676">
        <w:t>SUL</w:t>
      </w:r>
      <w:r w:rsidR="004C0E2D" w:rsidRPr="00F62676">
        <w:t>_”</w:t>
      </w:r>
      <w:r w:rsidRPr="00F62676">
        <w:t xml:space="preserve"> is shifted</w:t>
      </w:r>
      <w:r w:rsidR="004C0E2D" w:rsidRPr="00F62676">
        <w:t xml:space="preserve"> behind the “_” separating the LTE and NR carriers and the configuration starts with “DC_” as usual for DC configurations</w:t>
      </w:r>
    </w:p>
    <w:p w14:paraId="7540F459" w14:textId="77777777" w:rsidR="004D1925" w:rsidRPr="00F62676" w:rsidRDefault="004D1925" w:rsidP="004D1925"/>
    <w:p w14:paraId="33B14903" w14:textId="47CFEBD1" w:rsidR="00307ABC" w:rsidRPr="00F62676" w:rsidRDefault="00307ABC" w:rsidP="00307ABC">
      <w:pPr>
        <w:pStyle w:val="Heading4"/>
      </w:pPr>
      <w:r w:rsidRPr="00F62676">
        <w:t xml:space="preserve">2.2 Notation of </w:t>
      </w:r>
      <w:r w:rsidR="0088503B" w:rsidRPr="00F62676">
        <w:t xml:space="preserve">lists of </w:t>
      </w:r>
      <w:r w:rsidRPr="00F62676">
        <w:t>bands and bandwidths within a configuration</w:t>
      </w:r>
    </w:p>
    <w:p w14:paraId="1C3C7739" w14:textId="6501E83D" w:rsidR="00925F00" w:rsidRPr="00F62676" w:rsidRDefault="00925F00" w:rsidP="00925F00">
      <w:pPr>
        <w:pStyle w:val="Heading4"/>
      </w:pPr>
      <w:r w:rsidRPr="00F62676">
        <w:t>2.2.1 Band numbers</w:t>
      </w:r>
    </w:p>
    <w:p w14:paraId="6C091B3F" w14:textId="3443BF76" w:rsidR="0088503B" w:rsidRPr="00F62676" w:rsidRDefault="0088503B" w:rsidP="0009755D">
      <w:r w:rsidRPr="00F62676">
        <w:t xml:space="preserve">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w:t>
      </w:r>
      <w:r w:rsidR="00AE7664" w:rsidRPr="00F62676">
        <w:t>the</w:t>
      </w:r>
      <w:r w:rsidRPr="00F62676">
        <w:t xml:space="preserve"> number</w:t>
      </w:r>
      <w:r w:rsidR="00AE7664" w:rsidRPr="00F62676">
        <w:t xml:space="preserve"> of the band</w:t>
      </w:r>
      <w:r w:rsidRPr="00F62676">
        <w:t>, for NR carriers the</w:t>
      </w:r>
      <w:r w:rsidR="004D1925" w:rsidRPr="00F62676">
        <w:t xml:space="preserve"> numerical </w:t>
      </w:r>
      <w:r w:rsidR="00AE7664" w:rsidRPr="00F62676">
        <w:t xml:space="preserve">part of the band </w:t>
      </w:r>
      <w:r w:rsidR="004D1925" w:rsidRPr="00F62676">
        <w:t>n</w:t>
      </w:r>
      <w:r w:rsidR="00AE7664" w:rsidRPr="00F62676">
        <w:t>otation</w:t>
      </w:r>
      <w:r w:rsidR="004D1925" w:rsidRPr="00F62676">
        <w:t xml:space="preserve"> is preceded by a “n”, indicating this is a NR band, not a LTE band.</w:t>
      </w:r>
      <w:r w:rsidRPr="00F62676">
        <w:t xml:space="preserve"> </w:t>
      </w:r>
      <w:r w:rsidR="003F6020" w:rsidRPr="00F62676">
        <w:t xml:space="preserve">NR bands above n256 are FR2 bands, below n256 are FR1 bands. </w:t>
      </w:r>
      <w:r w:rsidR="00AE7664" w:rsidRPr="00F62676">
        <w:t>The band number is always followed by the bandwidth class, which can be quite complicated for NR combinations</w:t>
      </w:r>
      <w:r w:rsidR="00753756" w:rsidRPr="00F62676">
        <w:t xml:space="preserve"> with intra-band CA</w:t>
      </w:r>
      <w:r w:rsidR="00AE7664" w:rsidRPr="00F62676">
        <w:t>. Bandwidth classes other than “A” indicate multiple carriers in that band. In the list there can be multiple entries</w:t>
      </w:r>
      <w:r w:rsidR="00753756" w:rsidRPr="00F62676">
        <w:t xml:space="preserve"> for inter-band CA configurat</w:t>
      </w:r>
      <w:r w:rsidR="003F6020" w:rsidRPr="00F62676">
        <w:t>i</w:t>
      </w:r>
      <w:r w:rsidR="00753756" w:rsidRPr="00F62676">
        <w:t>ons (in LTE also intra-band non-contiguous CA)</w:t>
      </w:r>
      <w:r w:rsidR="00AE7664" w:rsidRPr="00F62676">
        <w:t xml:space="preserve">, </w:t>
      </w:r>
      <w:r w:rsidR="00753756" w:rsidRPr="00F62676">
        <w:t>which</w:t>
      </w:r>
      <w:r w:rsidR="00AE7664" w:rsidRPr="00F62676">
        <w:t xml:space="preserve"> are always separated by “-“. </w:t>
      </w:r>
      <w:r w:rsidR="00753756" w:rsidRPr="00F62676">
        <w:t xml:space="preserve">The band numbers are sorted in increasing numbers. </w:t>
      </w:r>
      <w:r w:rsidR="00AE7664" w:rsidRPr="00F62676">
        <w:t>LTE and NR bands in the same frequency range usually have the same band number.</w:t>
      </w:r>
      <w:r w:rsidR="00753756" w:rsidRPr="00F62676">
        <w:t xml:space="preserve"> Examples:</w:t>
      </w:r>
    </w:p>
    <w:p w14:paraId="56B7C775" w14:textId="6537CAB6" w:rsidR="00AE7664" w:rsidRPr="00F62676" w:rsidRDefault="00AE7664" w:rsidP="00AE7664">
      <w:pPr>
        <w:pStyle w:val="ListParagraph"/>
        <w:numPr>
          <w:ilvl w:val="0"/>
          <w:numId w:val="21"/>
        </w:numPr>
      </w:pPr>
      <w:r w:rsidRPr="00F62676">
        <w:t xml:space="preserve">Notation of a single LTE carrier: 1A, 2A, 3A etc. </w:t>
      </w:r>
    </w:p>
    <w:p w14:paraId="4E0ED180" w14:textId="6A86DB77" w:rsidR="00AE7664" w:rsidRPr="00F62676" w:rsidRDefault="00AE7664" w:rsidP="00AE7664">
      <w:pPr>
        <w:pStyle w:val="ListParagraph"/>
        <w:numPr>
          <w:ilvl w:val="0"/>
          <w:numId w:val="21"/>
        </w:numPr>
      </w:pPr>
      <w:r w:rsidRPr="00F62676">
        <w:t xml:space="preserve">Notation of a single NR carrier: n1A, n2A, n3A etc. </w:t>
      </w:r>
    </w:p>
    <w:p w14:paraId="28688DA6" w14:textId="4C58EE96" w:rsidR="00AE7664" w:rsidRPr="00F62676" w:rsidRDefault="00AE7664" w:rsidP="00AE7664">
      <w:pPr>
        <w:pStyle w:val="ListParagraph"/>
        <w:numPr>
          <w:ilvl w:val="0"/>
          <w:numId w:val="21"/>
        </w:numPr>
      </w:pPr>
      <w:r w:rsidRPr="00F62676">
        <w:t xml:space="preserve">List of </w:t>
      </w:r>
      <w:r w:rsidR="00753756" w:rsidRPr="00F62676">
        <w:t>multiple</w:t>
      </w:r>
      <w:r w:rsidRPr="00F62676">
        <w:t xml:space="preserve"> LTE carriers</w:t>
      </w:r>
      <w:r w:rsidR="00753756" w:rsidRPr="00F62676">
        <w:t xml:space="preserve"> on different bands: 1A-2A-3A</w:t>
      </w:r>
    </w:p>
    <w:p w14:paraId="5CF0F622" w14:textId="210C7AB4" w:rsidR="00753756" w:rsidRPr="00F62676" w:rsidRDefault="00753756" w:rsidP="00753756">
      <w:pPr>
        <w:pStyle w:val="ListParagraph"/>
        <w:numPr>
          <w:ilvl w:val="0"/>
          <w:numId w:val="21"/>
        </w:numPr>
      </w:pPr>
      <w:r w:rsidRPr="00F62676">
        <w:t>List of multiple NR carriers on different bands: n1A-n2A-n3A</w:t>
      </w:r>
    </w:p>
    <w:p w14:paraId="297BAB4E" w14:textId="05965364" w:rsidR="00925F00" w:rsidRPr="00F62676" w:rsidRDefault="00925F00" w:rsidP="00925F00">
      <w:pPr>
        <w:pStyle w:val="Heading4"/>
      </w:pPr>
      <w:r w:rsidRPr="00F62676">
        <w:t>2.2.2 Bandwidth classes</w:t>
      </w:r>
    </w:p>
    <w:p w14:paraId="5A435CDD" w14:textId="6B008E25" w:rsidR="00925F00" w:rsidRPr="00F62676" w:rsidRDefault="00925F00" w:rsidP="0009755D">
      <w:r w:rsidRPr="00F62676">
        <w:t>2.2.2.1 Bandwidth classes for LTE</w:t>
      </w:r>
    </w:p>
    <w:p w14:paraId="01DD5B4F" w14:textId="76A4FF12" w:rsidR="00BF7222" w:rsidRPr="00F62676" w:rsidRDefault="0088503B" w:rsidP="0009755D">
      <w:r w:rsidRPr="00F62676">
        <w:t>A</w:t>
      </w:r>
      <w:r w:rsidR="00753756" w:rsidRPr="00F62676">
        <w:t>n entry</w:t>
      </w:r>
      <w:r w:rsidRPr="00F62676">
        <w:t xml:space="preserve"> within the list </w:t>
      </w:r>
      <w:r w:rsidR="00753756" w:rsidRPr="00F62676">
        <w:t>of carriers</w:t>
      </w:r>
      <w:r w:rsidRPr="00F62676">
        <w:t xml:space="preserve"> always start</w:t>
      </w:r>
      <w:r w:rsidR="00753756" w:rsidRPr="00F62676">
        <w:t>s</w:t>
      </w:r>
      <w:r w:rsidRPr="00F62676">
        <w:t xml:space="preserve"> with the band number followed by the bandwidth class.</w:t>
      </w:r>
      <w:r w:rsidR="00753756" w:rsidRPr="00F62676">
        <w:t xml:space="preserve"> In LTE the bandwidth class</w:t>
      </w:r>
      <w:r w:rsidR="00925F00" w:rsidRPr="00F62676">
        <w:t>es (if not “A”) mean this is a contiguous CA configuration with multiple carriers. They are</w:t>
      </w:r>
      <w:r w:rsidR="00753756" w:rsidRPr="00F62676">
        <w:t xml:space="preserve"> specified in table</w:t>
      </w:r>
      <w:r w:rsidR="00925F00" w:rsidRPr="00F62676">
        <w:t xml:space="preserve"> 5.6A-1 in 36.101 and can range from “A” for a single carrier  up to F for 5 carriers. BW class I is specified for 8 carriers, but is not used. Non-contiguous CA combinations are just listing multiple single carriers separated by “-“. Examples:</w:t>
      </w:r>
    </w:p>
    <w:p w14:paraId="2C4B0CBA" w14:textId="62EDA49D" w:rsidR="00B94FE3" w:rsidRPr="00F62676" w:rsidRDefault="00925F00" w:rsidP="00B94FE3">
      <w:pPr>
        <w:pStyle w:val="ListParagraph"/>
        <w:numPr>
          <w:ilvl w:val="0"/>
          <w:numId w:val="21"/>
        </w:numPr>
      </w:pPr>
      <w:r w:rsidRPr="00F62676">
        <w:t>CA_1B</w:t>
      </w:r>
      <w:r w:rsidR="00B94FE3" w:rsidRPr="00F62676">
        <w:t>: Two contiguously aggregated LTE carriers with 20MHz or less in band 1.</w:t>
      </w:r>
    </w:p>
    <w:p w14:paraId="794EB659" w14:textId="63713BA9" w:rsidR="00925F00" w:rsidRPr="00F62676" w:rsidRDefault="00B94FE3" w:rsidP="00925F00">
      <w:pPr>
        <w:pStyle w:val="ListParagraph"/>
        <w:numPr>
          <w:ilvl w:val="0"/>
          <w:numId w:val="21"/>
        </w:numPr>
      </w:pPr>
      <w:r w:rsidRPr="00F62676">
        <w:t>CA_2F: Five contiguously aggregated LTE carriers with up to 100MHz in band 2.</w:t>
      </w:r>
    </w:p>
    <w:p w14:paraId="785BE0D9" w14:textId="51D0FCD1" w:rsidR="00B94FE3" w:rsidRPr="00F62676" w:rsidRDefault="00B94FE3" w:rsidP="00925F00">
      <w:pPr>
        <w:pStyle w:val="ListParagraph"/>
        <w:numPr>
          <w:ilvl w:val="0"/>
          <w:numId w:val="21"/>
        </w:numPr>
      </w:pPr>
      <w:r w:rsidRPr="00F62676">
        <w:t>CA_3A-3A: Two non-contiguously aggregated LTE carriers in band 3</w:t>
      </w:r>
    </w:p>
    <w:p w14:paraId="597FB956" w14:textId="74198D2A" w:rsidR="00B94FE3" w:rsidRPr="00F62676" w:rsidRDefault="00B94FE3" w:rsidP="00925F00">
      <w:pPr>
        <w:pStyle w:val="ListParagraph"/>
        <w:numPr>
          <w:ilvl w:val="0"/>
          <w:numId w:val="21"/>
        </w:numPr>
      </w:pPr>
      <w:r w:rsidRPr="00F62676">
        <w:lastRenderedPageBreak/>
        <w:t>CA_4A-4E: A single carrier followed by a gap and then followed by four contiguously aggregated carriers with up to 80MHz</w:t>
      </w:r>
    </w:p>
    <w:p w14:paraId="13498C1B" w14:textId="22C896C7" w:rsidR="003F6020" w:rsidRPr="00F62676" w:rsidRDefault="003F6020" w:rsidP="00925F00">
      <w:pPr>
        <w:pStyle w:val="ListParagraph"/>
        <w:numPr>
          <w:ilvl w:val="0"/>
          <w:numId w:val="21"/>
        </w:numPr>
      </w:pPr>
      <w:r w:rsidRPr="00F62676">
        <w:t>A single carrier is no CA configuration as there is nothing aggregated, so there is no CA_5A, this is just 5A.</w:t>
      </w:r>
    </w:p>
    <w:p w14:paraId="0AC1E343" w14:textId="4B383CD5" w:rsidR="00B36F08" w:rsidRPr="00F62676" w:rsidRDefault="00B36F08" w:rsidP="0009755D"/>
    <w:p w14:paraId="63365E0A" w14:textId="0E8779DA" w:rsidR="00B94FE3" w:rsidRPr="00F62676" w:rsidRDefault="00B94FE3" w:rsidP="00B94FE3">
      <w:r w:rsidRPr="00F62676">
        <w:t>2.2.2.2 Bandwidth classes for NR</w:t>
      </w:r>
    </w:p>
    <w:p w14:paraId="7D73E62A" w14:textId="30460D71" w:rsidR="007B6CBA" w:rsidRPr="00F62676" w:rsidRDefault="00B94FE3" w:rsidP="00B94FE3">
      <w:r w:rsidRPr="00F62676">
        <w:t xml:space="preserve">NR bandwidth classes are much more complicated. Also here an entry within the list of carriers always starts with the band number followed by the bandwidth class. But in </w:t>
      </w:r>
      <w:r w:rsidR="00DA0588" w:rsidRPr="00F62676">
        <w:t>NR</w:t>
      </w:r>
      <w:r w:rsidRPr="00F62676">
        <w:t xml:space="preserve"> the bandwidth class includes contiguous and non-contiguous CA and a mixture of contiguous and non-contiguous CA. For contiguous CA the bandwidth classes are specified similar to LTE, but separate for FR1 and FR2. For FR1 cont</w:t>
      </w:r>
      <w:r w:rsidR="005C4E53" w:rsidRPr="00F62676">
        <w:t xml:space="preserve">iguous CA BW classes are specified in table 5.3A.5-1 in 38.101-1 ranging from A to O, for FR2 in 5.3A.4-1 in 38.101-2 ranging from A to Q. </w:t>
      </w:r>
    </w:p>
    <w:p w14:paraId="47DC15CD" w14:textId="1B0EDF77" w:rsidR="00DA0588" w:rsidRPr="00F62676" w:rsidRDefault="00DA0588" w:rsidP="00B94FE3">
      <w:r w:rsidRPr="00F62676">
        <w:t>A special kind or BW class specification is when there are intra-band contiguous LTE and NR carriers within a DC combination like DC_(n)1AA. In this case the LTE and NR carriers within that band are combined to a single entry of the list of carriers starting with (n) indicating that it can be “n” for the NR carrier, or no “n</w:t>
      </w:r>
      <w:r w:rsidR="00265B4B" w:rsidRPr="00F62676">
        <w:t>”</w:t>
      </w:r>
      <w:r w:rsidRPr="00F62676">
        <w:t xml:space="preserve"> for the LTE carrier. This is followed by the numerical value of the band (here “1”) and then the contiguous BW class for the LTE part and the contiguous BW class for the NR part. </w:t>
      </w:r>
      <w:r w:rsidR="00265B4B" w:rsidRPr="00F62676">
        <w:t>S</w:t>
      </w:r>
      <w:r w:rsidRPr="00F62676">
        <w:t>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w:t>
      </w:r>
      <w:r w:rsidR="000D610D" w:rsidRPr="00F62676">
        <w:t xml:space="preserve"> This can be extended by other LTE carriers in front of  the combination of carriers with (n) or with other NR carriers behind the (n) part, for example DC_1A-(n)2AA or DC_</w:t>
      </w:r>
      <w:r w:rsidR="002D655D" w:rsidRPr="00F62676">
        <w:t xml:space="preserve">(n)2AA-n3A. The (n) part is considered as the last TLE combination in the list or the first NR combination in the list, therefore adding it with a “-“ instead of a “_”. However, we </w:t>
      </w:r>
      <w:r w:rsidR="00265B4B" w:rsidRPr="00F62676">
        <w:t xml:space="preserve">currently </w:t>
      </w:r>
      <w:r w:rsidR="002D655D" w:rsidRPr="00F62676">
        <w:t xml:space="preserve">have some kind of mix-up in the spec, as both </w:t>
      </w:r>
      <w:r w:rsidR="00C479BF" w:rsidRPr="00F62676">
        <w:t>versions a</w:t>
      </w:r>
      <w:r w:rsidR="002D655D" w:rsidRPr="00F62676">
        <w:t>ppear there. This will need to be corrected with a CR to get it consistent in the spec.</w:t>
      </w:r>
      <w:r w:rsidRPr="00F62676">
        <w:t xml:space="preserve"> </w:t>
      </w:r>
    </w:p>
    <w:p w14:paraId="44745746" w14:textId="5475ABCA" w:rsidR="00B94FE3" w:rsidRPr="00F62676" w:rsidRDefault="005C4E53" w:rsidP="00B94FE3">
      <w:r w:rsidRPr="00F62676">
        <w:t xml:space="preserve">However, the BW class part of a NR configuration also includes non-contiguous intra-band CA. </w:t>
      </w:r>
      <w:r w:rsidR="003F6020" w:rsidRPr="00F62676">
        <w:t xml:space="preserve">For a combination containing any non-contiguous CA, i.e. a gap between any aggregated carriers, </w:t>
      </w:r>
      <w:r w:rsidR="007B6CBA" w:rsidRPr="00F62676">
        <w:t>e</w:t>
      </w:r>
      <w:r w:rsidR="003F6020" w:rsidRPr="00F62676">
        <w:t xml:space="preserve">ach block of </w:t>
      </w:r>
      <w:r w:rsidR="007B6CBA" w:rsidRPr="00F62676">
        <w:t xml:space="preserve">single or </w:t>
      </w:r>
      <w:r w:rsidR="003F6020" w:rsidRPr="00F62676">
        <w:t>contiguous</w:t>
      </w:r>
      <w:r w:rsidR="007B6CBA" w:rsidRPr="00F62676">
        <w:t>ly</w:t>
      </w:r>
      <w:r w:rsidR="003F6020" w:rsidRPr="00F62676">
        <w:t xml:space="preserve"> aggregated carriers</w:t>
      </w:r>
      <w:r w:rsidR="007B6CBA" w:rsidRPr="00F62676">
        <w:t xml:space="preserve"> is called a sub-block, where a sub-block can also consist of the contiguously aggregated carriers as stated above</w:t>
      </w:r>
      <w:r w:rsidR="003F6020" w:rsidRPr="00F62676">
        <w:t>.</w:t>
      </w:r>
      <w:r w:rsidR="007B6CBA" w:rsidRPr="00F62676">
        <w:t xml:space="preserve"> While in LTE single non-contiguously aggregated carriers are just duplicated like CA_1A-1A,</w:t>
      </w:r>
      <w:r w:rsidRPr="00F62676">
        <w:t xml:space="preserve"> </w:t>
      </w:r>
      <w:r w:rsidR="007B6CBA" w:rsidRPr="00F62676">
        <w:t xml:space="preserve">in NR </w:t>
      </w:r>
      <w:r w:rsidRPr="00F62676">
        <w:t xml:space="preserve">the </w:t>
      </w:r>
      <w:r w:rsidR="003F6020" w:rsidRPr="00F62676">
        <w:t>number of non-contiguous carriers</w:t>
      </w:r>
      <w:r w:rsidR="007B6CBA" w:rsidRPr="00F62676">
        <w:t xml:space="preserve"> of a BW class</w:t>
      </w:r>
      <w:r w:rsidR="003F6020" w:rsidRPr="00F62676">
        <w:t xml:space="preserve"> is counted and put in brackets with the number of subblocks </w:t>
      </w:r>
      <w:r w:rsidR="007B6CBA" w:rsidRPr="00F62676">
        <w:t xml:space="preserve">of this type </w:t>
      </w:r>
      <w:r w:rsidR="003F6020" w:rsidRPr="00F62676">
        <w:t>preceding the bandwidth class. Therefore a configuration with two non-contiguous carriers will have a BW class (2A)</w:t>
      </w:r>
      <w:r w:rsidR="007B6CBA" w:rsidRPr="00F62676">
        <w:t xml:space="preserve"> in NR, so the combination will be named CA_n1(2A)</w:t>
      </w:r>
      <w:r w:rsidR="003F6020" w:rsidRPr="00F62676">
        <w:t xml:space="preserve">, meaning there are two </w:t>
      </w:r>
      <w:r w:rsidR="007B6CBA" w:rsidRPr="00F62676">
        <w:t xml:space="preserve">non-contiguous </w:t>
      </w:r>
      <w:r w:rsidR="003F6020" w:rsidRPr="00F62676">
        <w:t>carriers with BW class A</w:t>
      </w:r>
      <w:r w:rsidR="007B6CBA" w:rsidRPr="00F62676">
        <w:t xml:space="preserve"> in band n1.</w:t>
      </w:r>
    </w:p>
    <w:p w14:paraId="414C5094" w14:textId="05622B5F" w:rsidR="007B6CBA" w:rsidRPr="00F62676" w:rsidRDefault="007B6CBA" w:rsidP="00B94FE3">
      <w:r w:rsidRPr="00F62676">
        <w:t xml:space="preserve">However, there can also be the combination of contiguous and non-contiguous intra-band CA in NR. In. this case the sub-blocks of each </w:t>
      </w:r>
      <w:r w:rsidR="008A7188" w:rsidRPr="00F62676">
        <w:t>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40C5B267" w14:textId="49BD22CB" w:rsidR="00B94FE3" w:rsidRPr="00F62676" w:rsidRDefault="00B94FE3" w:rsidP="00B94FE3">
      <w:pPr>
        <w:pStyle w:val="ListParagraph"/>
        <w:numPr>
          <w:ilvl w:val="0"/>
          <w:numId w:val="21"/>
        </w:numPr>
      </w:pPr>
      <w:r w:rsidRPr="00F62676">
        <w:t>CA_</w:t>
      </w:r>
      <w:r w:rsidR="008A7188" w:rsidRPr="00F62676">
        <w:t>n</w:t>
      </w:r>
      <w:r w:rsidRPr="00F62676">
        <w:t xml:space="preserve">1B: Two contiguously aggregated </w:t>
      </w:r>
      <w:r w:rsidR="008A7188" w:rsidRPr="00F62676">
        <w:t>NR</w:t>
      </w:r>
      <w:r w:rsidRPr="00F62676">
        <w:t xml:space="preserve"> carriers with </w:t>
      </w:r>
      <w:r w:rsidR="008A7188" w:rsidRPr="00F62676">
        <w:t>10</w:t>
      </w:r>
      <w:r w:rsidRPr="00F62676">
        <w:t xml:space="preserve">0MHz or less in band </w:t>
      </w:r>
      <w:r w:rsidR="008A7188" w:rsidRPr="00F62676">
        <w:t>n</w:t>
      </w:r>
      <w:r w:rsidRPr="00F62676">
        <w:t>1</w:t>
      </w:r>
      <w:r w:rsidR="004B36D7" w:rsidRPr="00F62676">
        <w:t xml:space="preserve"> (FR1)</w:t>
      </w:r>
      <w:r w:rsidRPr="00F62676">
        <w:t>.</w:t>
      </w:r>
    </w:p>
    <w:p w14:paraId="7B59E218" w14:textId="21B7E477" w:rsidR="00B94FE3" w:rsidRPr="00F62676" w:rsidRDefault="00B94FE3" w:rsidP="00B94FE3">
      <w:pPr>
        <w:pStyle w:val="ListParagraph"/>
        <w:numPr>
          <w:ilvl w:val="0"/>
          <w:numId w:val="21"/>
        </w:numPr>
      </w:pPr>
      <w:r w:rsidRPr="00F62676">
        <w:t>CA_</w:t>
      </w:r>
      <w:r w:rsidR="008A7188" w:rsidRPr="00F62676">
        <w:t>n</w:t>
      </w:r>
      <w:r w:rsidRPr="00F62676">
        <w:t>2</w:t>
      </w:r>
      <w:r w:rsidR="008A7188" w:rsidRPr="00F62676">
        <w:t>D</w:t>
      </w:r>
      <w:r w:rsidRPr="00F62676">
        <w:t xml:space="preserve">: </w:t>
      </w:r>
      <w:r w:rsidR="008A7188" w:rsidRPr="00F62676">
        <w:t>Three</w:t>
      </w:r>
      <w:r w:rsidRPr="00F62676">
        <w:t xml:space="preserve"> contiguously aggregated </w:t>
      </w:r>
      <w:r w:rsidR="008A7188" w:rsidRPr="00F62676">
        <w:t>NR</w:t>
      </w:r>
      <w:r w:rsidRPr="00F62676">
        <w:t xml:space="preserve"> carriers with up to </w:t>
      </w:r>
      <w:r w:rsidR="008A7188" w:rsidRPr="00F62676">
        <w:t>3</w:t>
      </w:r>
      <w:r w:rsidRPr="00F62676">
        <w:t xml:space="preserve">00MHz in band </w:t>
      </w:r>
      <w:r w:rsidR="008A7188" w:rsidRPr="00F62676">
        <w:t>n</w:t>
      </w:r>
      <w:r w:rsidRPr="00F62676">
        <w:t>2.</w:t>
      </w:r>
    </w:p>
    <w:p w14:paraId="4243BA44" w14:textId="7FF2D3E5" w:rsidR="00B94FE3" w:rsidRPr="00F62676" w:rsidRDefault="00B94FE3" w:rsidP="00B94FE3">
      <w:pPr>
        <w:pStyle w:val="ListParagraph"/>
        <w:numPr>
          <w:ilvl w:val="0"/>
          <w:numId w:val="21"/>
        </w:numPr>
      </w:pPr>
      <w:r w:rsidRPr="00F62676">
        <w:t>CA_</w:t>
      </w:r>
      <w:r w:rsidR="008A7188" w:rsidRPr="00F62676">
        <w:t>n</w:t>
      </w:r>
      <w:r w:rsidRPr="00F62676">
        <w:t>3</w:t>
      </w:r>
      <w:r w:rsidR="008A7188" w:rsidRPr="00F62676">
        <w:t>(2</w:t>
      </w:r>
      <w:r w:rsidRPr="00F62676">
        <w:t>A</w:t>
      </w:r>
      <w:r w:rsidR="008A7188" w:rsidRPr="00F62676">
        <w:t>)</w:t>
      </w:r>
      <w:r w:rsidRPr="00F62676">
        <w:t xml:space="preserve">: Two non-contiguously aggregated </w:t>
      </w:r>
      <w:r w:rsidR="008A7188" w:rsidRPr="00F62676">
        <w:t>NR</w:t>
      </w:r>
      <w:r w:rsidRPr="00F62676">
        <w:t xml:space="preserve"> carriers in band </w:t>
      </w:r>
      <w:r w:rsidR="008A7188" w:rsidRPr="00F62676">
        <w:t>n</w:t>
      </w:r>
      <w:r w:rsidRPr="00F62676">
        <w:t>3</w:t>
      </w:r>
    </w:p>
    <w:p w14:paraId="61C05D42" w14:textId="3330629D" w:rsidR="004B36D7" w:rsidRPr="00F62676" w:rsidRDefault="004B36D7" w:rsidP="004B36D7">
      <w:pPr>
        <w:pStyle w:val="ListParagraph"/>
        <w:numPr>
          <w:ilvl w:val="0"/>
          <w:numId w:val="21"/>
        </w:numPr>
      </w:pPr>
      <w:r w:rsidRPr="00F62676">
        <w:t>CA_n260G: Two contiguously aggregated NR carriers with 150 or 200MHz in band n260 (FR2).</w:t>
      </w:r>
    </w:p>
    <w:p w14:paraId="1E2DAF85" w14:textId="572C07FF" w:rsidR="004B36D7" w:rsidRPr="00F62676" w:rsidRDefault="004B36D7" w:rsidP="004B36D7">
      <w:pPr>
        <w:pStyle w:val="ListParagraph"/>
        <w:numPr>
          <w:ilvl w:val="0"/>
          <w:numId w:val="21"/>
        </w:numPr>
      </w:pPr>
      <w:r w:rsidRPr="00F62676">
        <w:t>CA_n260M: Eight contiguously aggregated NR carriers with 750 or 800MHz in band n260 (FR2).</w:t>
      </w:r>
    </w:p>
    <w:p w14:paraId="4AFDF750" w14:textId="5A712220" w:rsidR="004B36D7" w:rsidRPr="00F62676" w:rsidRDefault="004B36D7" w:rsidP="004B36D7">
      <w:pPr>
        <w:pStyle w:val="ListParagraph"/>
        <w:numPr>
          <w:ilvl w:val="0"/>
          <w:numId w:val="21"/>
        </w:numPr>
      </w:pPr>
      <w:r w:rsidRPr="00F62676">
        <w:t>CA_n260(2A): Two non-contiguously aggregated NR carriers in band n260 with up to 800MHz (2x400MHz)</w:t>
      </w:r>
    </w:p>
    <w:p w14:paraId="3B4D8CCF" w14:textId="11409722" w:rsidR="00B94FE3" w:rsidRPr="00F62676" w:rsidRDefault="00B94FE3" w:rsidP="00B94FE3">
      <w:pPr>
        <w:pStyle w:val="ListParagraph"/>
        <w:numPr>
          <w:ilvl w:val="0"/>
          <w:numId w:val="21"/>
        </w:numPr>
      </w:pPr>
      <w:r w:rsidRPr="00F62676">
        <w:t>CA_</w:t>
      </w:r>
      <w:r w:rsidR="004B36D7" w:rsidRPr="00F62676">
        <w:t>n260(A-M)</w:t>
      </w:r>
      <w:r w:rsidRPr="00F62676">
        <w:t xml:space="preserve">: A single carrier followed by a gap and then followed by </w:t>
      </w:r>
      <w:r w:rsidR="004B36D7" w:rsidRPr="00F62676">
        <w:t>eight</w:t>
      </w:r>
      <w:r w:rsidRPr="00F62676">
        <w:t xml:space="preserve"> contiguously aggregated carriers with up to </w:t>
      </w:r>
      <w:r w:rsidR="004B36D7" w:rsidRPr="00F62676">
        <w:t>10</w:t>
      </w:r>
      <w:r w:rsidRPr="00F62676">
        <w:t>0MHz</w:t>
      </w:r>
      <w:r w:rsidR="004B36D7" w:rsidRPr="00F62676">
        <w:t xml:space="preserve"> each</w:t>
      </w:r>
    </w:p>
    <w:p w14:paraId="7C218037" w14:textId="5F513DB9" w:rsidR="004B36D7" w:rsidRPr="00F62676" w:rsidRDefault="004B36D7" w:rsidP="004B36D7">
      <w:pPr>
        <w:pStyle w:val="ListParagraph"/>
        <w:numPr>
          <w:ilvl w:val="0"/>
          <w:numId w:val="21"/>
        </w:numPr>
      </w:pPr>
      <w:r w:rsidRPr="00F62676">
        <w:t>CA_n260(2A-3G-Q): Two single carriers up to 400MNHz each, three sub-blocks with two carriers each of 150 or 200MHz per sub-block followed by another subblock with two carriers of 50 or 100MHz each</w:t>
      </w:r>
    </w:p>
    <w:p w14:paraId="7F9299ED" w14:textId="594E645A" w:rsidR="00EC497F" w:rsidRPr="00F62676" w:rsidRDefault="00EC497F" w:rsidP="00EC497F">
      <w:pPr>
        <w:pStyle w:val="Heading4"/>
      </w:pPr>
      <w:r w:rsidRPr="00F62676">
        <w:t>2.3 Rules to be used for the notation of CA or DC configurations</w:t>
      </w:r>
    </w:p>
    <w:p w14:paraId="75F2BBF4" w14:textId="05DD134C" w:rsidR="004B36D7" w:rsidRPr="00F62676" w:rsidRDefault="00EC497F" w:rsidP="004B36D7">
      <w:r w:rsidRPr="00F62676">
        <w:t>Besides what has been discussed above, there need to be some rules for generating the configuration notations:</w:t>
      </w:r>
    </w:p>
    <w:p w14:paraId="4F6A583E" w14:textId="42FAB5A9" w:rsidR="00EC497F" w:rsidRPr="00F62676" w:rsidRDefault="00EC497F" w:rsidP="00EC497F">
      <w:pPr>
        <w:pStyle w:val="ListParagraph"/>
        <w:numPr>
          <w:ilvl w:val="0"/>
          <w:numId w:val="21"/>
        </w:numPr>
      </w:pPr>
      <w:r w:rsidRPr="00F62676">
        <w:t>Each configuration needs to start with “CA_”, “DC_”, “SUL_” or “V2X_</w:t>
      </w:r>
    </w:p>
    <w:p w14:paraId="2717DDFA" w14:textId="3D47E100" w:rsidR="00630786" w:rsidRPr="00F62676" w:rsidRDefault="00630786" w:rsidP="00EC497F">
      <w:pPr>
        <w:pStyle w:val="ListParagraph"/>
        <w:numPr>
          <w:ilvl w:val="0"/>
          <w:numId w:val="21"/>
        </w:numPr>
      </w:pPr>
      <w:r w:rsidRPr="00F62676">
        <w:t>DC combinations include a list of LTE carriers first, followed by the list of NR carriers</w:t>
      </w:r>
    </w:p>
    <w:p w14:paraId="18639F42" w14:textId="426F8B3C" w:rsidR="00EC497F" w:rsidRPr="00F62676" w:rsidRDefault="00EC497F" w:rsidP="00EC497F">
      <w:pPr>
        <w:pStyle w:val="ListParagraph"/>
        <w:numPr>
          <w:ilvl w:val="0"/>
          <w:numId w:val="21"/>
        </w:numPr>
      </w:pPr>
      <w:r w:rsidRPr="00F62676">
        <w:t xml:space="preserve">Entries </w:t>
      </w:r>
      <w:r w:rsidR="001C56ED" w:rsidRPr="00F62676">
        <w:t>with</w:t>
      </w:r>
      <w:r w:rsidR="00630786" w:rsidRPr="00F62676">
        <w:t>in</w:t>
      </w:r>
      <w:r w:rsidR="001C56ED" w:rsidRPr="00F62676">
        <w:t xml:space="preserve"> a</w:t>
      </w:r>
      <w:r w:rsidRPr="00F62676">
        <w:t xml:space="preserve"> list of </w:t>
      </w:r>
      <w:r w:rsidR="00630786" w:rsidRPr="00F62676">
        <w:t xml:space="preserve">either </w:t>
      </w:r>
      <w:r w:rsidR="001C56ED" w:rsidRPr="00F62676">
        <w:t xml:space="preserve">LTE </w:t>
      </w:r>
      <w:r w:rsidRPr="00F62676">
        <w:t>carriers</w:t>
      </w:r>
      <w:r w:rsidR="001C56ED" w:rsidRPr="00F62676">
        <w:t xml:space="preserve"> or NR carriers</w:t>
      </w:r>
      <w:r w:rsidRPr="00F62676">
        <w:t xml:space="preserve"> need to be separated by “-“</w:t>
      </w:r>
      <w:r w:rsidR="001C56ED" w:rsidRPr="00F62676">
        <w:t>, not “_”</w:t>
      </w:r>
    </w:p>
    <w:p w14:paraId="1C717100" w14:textId="7AA20AD3" w:rsidR="00EC497F" w:rsidRPr="00F62676" w:rsidRDefault="00EC497F" w:rsidP="00EC497F">
      <w:pPr>
        <w:pStyle w:val="ListParagraph"/>
        <w:numPr>
          <w:ilvl w:val="0"/>
          <w:numId w:val="21"/>
        </w:numPr>
      </w:pPr>
      <w:r w:rsidRPr="00F62676">
        <w:lastRenderedPageBreak/>
        <w:t xml:space="preserve">The list of LTE carriers and the list of NR carriers </w:t>
      </w:r>
      <w:r w:rsidR="001C56ED" w:rsidRPr="00F62676">
        <w:t xml:space="preserve">within an EN_DC combination </w:t>
      </w:r>
      <w:r w:rsidRPr="00F62676">
        <w:t>need to be separated by “_”</w:t>
      </w:r>
      <w:r w:rsidR="00265B4B" w:rsidRPr="00F62676">
        <w:t>, for contiguous intra-band EN-DC the two lists are connected with the (n)xxAA like notation, not “_”</w:t>
      </w:r>
      <w:r w:rsidR="00867766">
        <w:t xml:space="preserve"> (xx is the band number)</w:t>
      </w:r>
      <w:r w:rsidR="00265B4B" w:rsidRPr="00F62676">
        <w:t>. I</w:t>
      </w:r>
      <w:r w:rsidRPr="00F62676">
        <w:t>n specific cases “_SUL_”</w:t>
      </w:r>
      <w:r w:rsidR="00265B4B" w:rsidRPr="00F62676">
        <w:t xml:space="preserve"> connects the two lists.</w:t>
      </w:r>
    </w:p>
    <w:p w14:paraId="75322693" w14:textId="65E2669B" w:rsidR="00EC497F" w:rsidRPr="00F62676" w:rsidRDefault="00EC497F" w:rsidP="00EC497F">
      <w:pPr>
        <w:pStyle w:val="ListParagraph"/>
        <w:numPr>
          <w:ilvl w:val="0"/>
          <w:numId w:val="21"/>
        </w:numPr>
      </w:pPr>
      <w:r w:rsidRPr="00F62676">
        <w:t xml:space="preserve">Contiguous LTE+NR intra-band carriers </w:t>
      </w:r>
      <w:r w:rsidR="001C56ED" w:rsidRPr="00F62676">
        <w:t xml:space="preserve">within a DC combination </w:t>
      </w:r>
      <w:r w:rsidRPr="00F62676">
        <w:t xml:space="preserve">are </w:t>
      </w:r>
      <w:r w:rsidR="001C56ED" w:rsidRPr="00F62676">
        <w:t>using the notation (n)</w:t>
      </w:r>
      <w:r w:rsidR="00265B4B" w:rsidRPr="00F62676">
        <w:t>xxAA</w:t>
      </w:r>
      <w:r w:rsidR="00867766">
        <w:t xml:space="preserve"> (xx is the band number)</w:t>
      </w:r>
    </w:p>
    <w:p w14:paraId="00076D23" w14:textId="73860506" w:rsidR="00EC497F" w:rsidRPr="00F62676" w:rsidRDefault="00EC497F" w:rsidP="00EC497F">
      <w:pPr>
        <w:pStyle w:val="ListParagraph"/>
        <w:numPr>
          <w:ilvl w:val="0"/>
          <w:numId w:val="21"/>
        </w:numPr>
      </w:pPr>
      <w:r w:rsidRPr="00F62676">
        <w:t>No other characters than “A” to “Z”, “0” to “9”, “(“, “)”, “-“ “_” and “n” are allowed within the notation, especially no spaces “ “</w:t>
      </w:r>
      <w:r w:rsidR="001C56ED" w:rsidRPr="00F62676">
        <w:t>, “/”, “.”, “.”, LineFeed, CR, other special characters</w:t>
      </w:r>
    </w:p>
    <w:p w14:paraId="777BBAD3" w14:textId="3AB1FF38" w:rsidR="001C56ED" w:rsidRPr="00F62676" w:rsidRDefault="001C56ED" w:rsidP="00EC497F">
      <w:pPr>
        <w:pStyle w:val="ListParagraph"/>
        <w:numPr>
          <w:ilvl w:val="0"/>
          <w:numId w:val="21"/>
        </w:numPr>
      </w:pPr>
      <w:r w:rsidRPr="00F62676">
        <w:t>Entries within the list of carriers need to be sorted in numerical order, i.e. first band n1, then n2, then n3, then n260</w:t>
      </w:r>
      <w:r w:rsidR="00630786" w:rsidRPr="00F62676">
        <w:t>, i.e. CA_1A-2A, not CA_2A-1A, but LTE and NR combinations are separately sorted, i.e. DC_2A_n1A</w:t>
      </w:r>
      <w:r w:rsidR="00265B4B" w:rsidRPr="00F62676">
        <w:t>, entries with (n) are always between the LTE and NR lists.</w:t>
      </w:r>
    </w:p>
    <w:p w14:paraId="01480529" w14:textId="194F0186" w:rsidR="00630786" w:rsidRPr="00F62676" w:rsidRDefault="00630786" w:rsidP="00EC497F">
      <w:pPr>
        <w:pStyle w:val="ListParagraph"/>
        <w:numPr>
          <w:ilvl w:val="0"/>
          <w:numId w:val="21"/>
        </w:numPr>
      </w:pPr>
      <w:r w:rsidRPr="00F62676">
        <w:t>Bandwidth notations are either a single character according to the BW class lists</w:t>
      </w:r>
      <w:r w:rsidR="00AA4CC1" w:rsidRPr="00F62676">
        <w:t xml:space="preserve"> of contiguously aggregated carriers</w:t>
      </w:r>
      <w:r w:rsidRPr="00F62676">
        <w:t xml:space="preserve">, two of these characters in case of  combinations with (n) or for </w:t>
      </w:r>
      <w:r w:rsidR="00AA4CC1" w:rsidRPr="00F62676">
        <w:t xml:space="preserve">NR </w:t>
      </w:r>
      <w:r w:rsidRPr="00F62676">
        <w:t>non-cont</w:t>
      </w:r>
      <w:r w:rsidR="00AA4CC1" w:rsidRPr="00F62676">
        <w:t>i</w:t>
      </w:r>
      <w:r w:rsidRPr="00F62676">
        <w:t>g</w:t>
      </w:r>
      <w:r w:rsidR="00AA4CC1" w:rsidRPr="00F62676">
        <w:t>u</w:t>
      </w:r>
      <w:r w:rsidRPr="00F62676">
        <w:t xml:space="preserve">ous intra-band combinations </w:t>
      </w:r>
      <w:r w:rsidR="00AA4CC1" w:rsidRPr="00F62676">
        <w:t xml:space="preserve">specific expressions </w:t>
      </w:r>
      <w:r w:rsidR="00867766">
        <w:t xml:space="preserve">listing multiple carriers </w:t>
      </w:r>
      <w:r w:rsidR="00AA4CC1" w:rsidRPr="00F62676">
        <w:t>within “()”</w:t>
      </w:r>
    </w:p>
    <w:p w14:paraId="77AE11AD" w14:textId="4467CD1A" w:rsidR="00AA4CC1" w:rsidRPr="00F62676" w:rsidRDefault="00AA4CC1" w:rsidP="00EC497F">
      <w:pPr>
        <w:pStyle w:val="ListParagraph"/>
        <w:numPr>
          <w:ilvl w:val="0"/>
          <w:numId w:val="21"/>
        </w:numPr>
      </w:pPr>
      <w:r w:rsidRPr="00F62676">
        <w:t xml:space="preserve">Within the “()” of non-contiguous </w:t>
      </w:r>
      <w:r w:rsidR="00867766">
        <w:t>N</w:t>
      </w:r>
      <w:r w:rsidRPr="00F62676">
        <w:t>R combinations there will only be BW class letters for the BW class of contiguous sub-blocks preceded by a number indicating the number of sub-blocks of this BW class, if there are multiple different BW classes they are listed in ascending BW class order separated by “-“</w:t>
      </w:r>
    </w:p>
    <w:p w14:paraId="503C6AEF" w14:textId="0EC083D7" w:rsidR="00954C21" w:rsidRPr="00F62676" w:rsidRDefault="00954C21" w:rsidP="00954C21">
      <w:pPr>
        <w:pStyle w:val="TOC1"/>
        <w:rPr>
          <w:noProof/>
        </w:rPr>
      </w:pPr>
      <w:r w:rsidRPr="00F62676">
        <w:rPr>
          <w:noProof/>
        </w:rPr>
        <w:t>Proposal 1:</w:t>
      </w:r>
      <w:r w:rsidRPr="00F62676">
        <w:rPr>
          <w:noProof/>
        </w:rPr>
        <w:tab/>
        <w:t xml:space="preserve">RAN4 Confirms the usage of the above rules </w:t>
      </w:r>
      <w:r w:rsidR="008A13D1">
        <w:rPr>
          <w:noProof/>
        </w:rPr>
        <w:t xml:space="preserve">in chapter 2.3 </w:t>
      </w:r>
      <w:r w:rsidRPr="00F62676">
        <w:rPr>
          <w:noProof/>
        </w:rPr>
        <w:t>for the notation of CA or DC configurations</w:t>
      </w:r>
    </w:p>
    <w:p w14:paraId="7C0FDD9E" w14:textId="774B05CA" w:rsidR="00AA4CC1" w:rsidRDefault="008A13D1" w:rsidP="00954C21">
      <w:r>
        <w:t>Here are some examples</w:t>
      </w:r>
      <w:r w:rsidR="0079230F">
        <w:t xml:space="preserve"> of correct notations</w:t>
      </w:r>
      <w:r>
        <w:t>:</w:t>
      </w:r>
    </w:p>
    <w:p w14:paraId="7A5EFDF2" w14:textId="30927C62" w:rsidR="0079230F" w:rsidRDefault="0079230F" w:rsidP="0079230F">
      <w:pPr>
        <w:pStyle w:val="ListParagraph"/>
        <w:numPr>
          <w:ilvl w:val="0"/>
          <w:numId w:val="21"/>
        </w:numPr>
      </w:pPr>
      <w:r>
        <w:t>DC</w:t>
      </w:r>
      <w:r w:rsidRPr="00F62676">
        <w:t>_</w:t>
      </w:r>
      <w:r>
        <w:t>1A-2A_</w:t>
      </w:r>
      <w:r w:rsidRPr="00F62676">
        <w:t>n260(A-M)</w:t>
      </w:r>
    </w:p>
    <w:p w14:paraId="7EBA7644" w14:textId="65393DE8" w:rsidR="0079230F" w:rsidRDefault="0079230F" w:rsidP="0079230F">
      <w:pPr>
        <w:pStyle w:val="ListParagraph"/>
        <w:numPr>
          <w:ilvl w:val="0"/>
          <w:numId w:val="21"/>
        </w:numPr>
      </w:pPr>
      <w:r>
        <w:t>DC_1A-2A-2A-2A_n3(3A)</w:t>
      </w:r>
    </w:p>
    <w:p w14:paraId="325DAC80" w14:textId="2B227D9A" w:rsidR="0079230F" w:rsidRPr="00F62676" w:rsidRDefault="0079230F" w:rsidP="0079230F">
      <w:pPr>
        <w:pStyle w:val="ListParagraph"/>
        <w:numPr>
          <w:ilvl w:val="0"/>
          <w:numId w:val="21"/>
        </w:numPr>
      </w:pPr>
      <w:r>
        <w:t>DC_1A-(n)2AA-n3A</w:t>
      </w:r>
    </w:p>
    <w:p w14:paraId="29412600" w14:textId="58DF7483" w:rsidR="0079230F" w:rsidRDefault="0079230F" w:rsidP="0079230F">
      <w:pPr>
        <w:pStyle w:val="ListParagraph"/>
        <w:numPr>
          <w:ilvl w:val="0"/>
          <w:numId w:val="21"/>
        </w:numPr>
      </w:pPr>
      <w:r>
        <w:t>DC_1A-2A-3A-4A-5A</w:t>
      </w:r>
      <w:r w:rsidRPr="00F62676">
        <w:t>_</w:t>
      </w:r>
      <w:r>
        <w:t>n6A-</w:t>
      </w:r>
      <w:r w:rsidRPr="00F62676">
        <w:t>n260(2A-3G-Q)</w:t>
      </w:r>
    </w:p>
    <w:p w14:paraId="28BFB784" w14:textId="20E2238D" w:rsidR="0079230F" w:rsidRDefault="0079230F" w:rsidP="00954C21">
      <w:pPr>
        <w:pStyle w:val="ListParagraph"/>
        <w:numPr>
          <w:ilvl w:val="0"/>
          <w:numId w:val="21"/>
        </w:numPr>
      </w:pPr>
      <w:r>
        <w:t>Some incorrect examples we have seen: DC_1A-2A_n3A(3A) (no “A” before the bracket); DC_2A-1A_n3(3A) (wrong sort order of LTE bands); DC</w:t>
      </w:r>
      <w:r w:rsidRPr="00F62676">
        <w:t>_</w:t>
      </w:r>
      <w:r>
        <w:t>1A- 2A_</w:t>
      </w:r>
      <w:r w:rsidRPr="00F62676">
        <w:t>n260(A-M)</w:t>
      </w:r>
      <w:r>
        <w:t xml:space="preserve"> (a “ “ (space) between the “-“ and the “2”; DC</w:t>
      </w:r>
      <w:r w:rsidRPr="00F62676">
        <w:t>_</w:t>
      </w:r>
      <w:r>
        <w:t>1A-2A_</w:t>
      </w:r>
      <w:r w:rsidRPr="00F62676">
        <w:t>n260A</w:t>
      </w:r>
      <w:r>
        <w:t>/G/H/I/J/K/L/M (no “/” allowed within a co</w:t>
      </w:r>
      <w:r w:rsidR="009E13C5">
        <w:t>nfiguration, multiple configurations not allowed within the notation, use separate configuration notations for each configuration)</w:t>
      </w:r>
    </w:p>
    <w:p w14:paraId="5FAFE7DD" w14:textId="77777777" w:rsidR="0079230F" w:rsidRPr="00F62676" w:rsidRDefault="0079230F" w:rsidP="00954C21"/>
    <w:p w14:paraId="36510877" w14:textId="6AF304BF" w:rsidR="00671C7E" w:rsidRPr="00F62676" w:rsidRDefault="00671C7E" w:rsidP="00671C7E">
      <w:pPr>
        <w:pStyle w:val="Heading1"/>
      </w:pPr>
      <w:r w:rsidRPr="00F62676">
        <w:t>3</w:t>
      </w:r>
      <w:r w:rsidRPr="00F62676">
        <w:tab/>
        <w:t>Usage of band combination</w:t>
      </w:r>
      <w:r w:rsidR="00AC00FB" w:rsidRPr="00F62676">
        <w:t xml:space="preserve"> notation in the specs</w:t>
      </w:r>
    </w:p>
    <w:p w14:paraId="03DB0DFC" w14:textId="5D343356" w:rsidR="00AC00FB" w:rsidRPr="00F62676" w:rsidRDefault="00AC00FB" w:rsidP="00AC00FB">
      <w:r w:rsidRPr="00F62676">
        <w:t>Currently we use this notation for the CA/DC configurations specified in 36.101 for LTE and 38.101 for NR. However, we have seen multiple bugs within the specs, which require to remind everyone working with the specs</w:t>
      </w:r>
      <w:r w:rsidR="00867766">
        <w:t>,</w:t>
      </w:r>
      <w:r w:rsidRPr="00F62676">
        <w:t xml:space="preserve"> how to handle the CA/DC configurations in the -101 specs. Here are some general rules how to implement these band combinations within the CA/DC configurations within the tables in clause 5.5:</w:t>
      </w:r>
    </w:p>
    <w:p w14:paraId="67A5B271" w14:textId="62A4EC7B" w:rsidR="00AC00FB" w:rsidRPr="00F62676" w:rsidRDefault="00AC00FB" w:rsidP="00AC00FB">
      <w:pPr>
        <w:pStyle w:val="ListParagraph"/>
        <w:numPr>
          <w:ilvl w:val="0"/>
          <w:numId w:val="21"/>
        </w:numPr>
      </w:pPr>
      <w:r w:rsidRPr="00F62676">
        <w:t xml:space="preserve">Each cell of the configuration table should contain only one combination of bands </w:t>
      </w:r>
      <w:r w:rsidR="00307CB4" w:rsidRPr="00F62676">
        <w:t xml:space="preserve">in the first column </w:t>
      </w:r>
      <w:r w:rsidRPr="00F62676">
        <w:t>with the exception that</w:t>
      </w:r>
      <w:r w:rsidR="00FD46CE" w:rsidRPr="00F62676">
        <w:t xml:space="preserve"> combinations having the same bands but different intra-band contiguous BW classes can be listed in the same cell.</w:t>
      </w:r>
      <w:r w:rsidR="00307CB4" w:rsidRPr="00F62676">
        <w:t xml:space="preserve"> Also all non-contiguous combinations </w:t>
      </w:r>
      <w:r w:rsidR="00867766">
        <w:t>can be</w:t>
      </w:r>
      <w:r w:rsidR="00307CB4" w:rsidRPr="00F62676">
        <w:t xml:space="preserve"> listed in one cell, but separate</w:t>
      </w:r>
      <w:r w:rsidR="00867766">
        <w:t>d</w:t>
      </w:r>
      <w:r w:rsidR="00307CB4" w:rsidRPr="00F62676">
        <w:t xml:space="preserve"> from the contiguous combinations</w:t>
      </w:r>
      <w:r w:rsidR="00867766">
        <w:t xml:space="preserve"> in another cell</w:t>
      </w:r>
      <w:r w:rsidR="00307CB4" w:rsidRPr="00F62676">
        <w:t>.</w:t>
      </w:r>
    </w:p>
    <w:p w14:paraId="2AA2D9F4" w14:textId="462FF408" w:rsidR="00307CB4" w:rsidRPr="00F62676" w:rsidRDefault="00307CB4" w:rsidP="00AC00FB">
      <w:pPr>
        <w:pStyle w:val="ListParagraph"/>
        <w:numPr>
          <w:ilvl w:val="0"/>
          <w:numId w:val="21"/>
        </w:numPr>
      </w:pPr>
      <w:r w:rsidRPr="00F62676">
        <w:t>In the UL column there shall only be UL configurations that belong to the configurations in the first column.</w:t>
      </w:r>
      <w:r w:rsidR="008D5892" w:rsidRPr="00F62676">
        <w:t xml:space="preserve"> Unfortunately this means that in the UL column there </w:t>
      </w:r>
      <w:r w:rsidR="00867766">
        <w:t>can be</w:t>
      </w:r>
      <w:r w:rsidR="008D5892" w:rsidRPr="00F62676">
        <w:t xml:space="preserve"> higher order configurations than some of the configurations in the first column, however, they cannot be used with such a lower order combination. This was agreed some time ago as a “table simplification”</w:t>
      </w:r>
      <w:r w:rsidR="004301FC">
        <w:t>, but creates some hassle as there are UL combinations listed that cannot be supported with the DLs.</w:t>
      </w:r>
    </w:p>
    <w:p w14:paraId="7CC99640" w14:textId="1D89CCA3" w:rsidR="00307CB4" w:rsidRPr="00F62676" w:rsidRDefault="00307CB4" w:rsidP="00AC00FB">
      <w:pPr>
        <w:pStyle w:val="ListParagraph"/>
        <w:numPr>
          <w:ilvl w:val="0"/>
          <w:numId w:val="21"/>
        </w:numPr>
      </w:pPr>
      <w:r w:rsidRPr="00F62676">
        <w:t xml:space="preserve">Multiple configurations with different </w:t>
      </w:r>
      <w:r w:rsidR="002E4E4F" w:rsidRPr="00F62676">
        <w:t xml:space="preserve">bandwidth classes shall be separated by </w:t>
      </w:r>
      <w:r w:rsidR="008D5892" w:rsidRPr="00F62676">
        <w:t xml:space="preserve">pressing the return key, you will see the </w:t>
      </w:r>
      <w:r w:rsidR="008D5892" w:rsidRPr="00F62676">
        <w:rPr>
          <w:noProof/>
        </w:rPr>
        <w:drawing>
          <wp:inline distT="0" distB="0" distL="0" distR="0" wp14:anchorId="7A1DA6A6" wp14:editId="1A8F05BE">
            <wp:extent cx="115860" cy="149937"/>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17802" cy="152450"/>
                    </a:xfrm>
                    <a:prstGeom prst="rect">
                      <a:avLst/>
                    </a:prstGeom>
                  </pic:spPr>
                </pic:pic>
              </a:graphicData>
            </a:graphic>
          </wp:inline>
        </w:drawing>
      </w:r>
      <w:r w:rsidR="008D5892" w:rsidRPr="00F62676">
        <w:t>sign at the end of the line if you activated the button to view these special characters, no other special characters to separate configuration shall be used</w:t>
      </w:r>
    </w:p>
    <w:p w14:paraId="6C61D8EB" w14:textId="329B4E86" w:rsidR="00307CB4" w:rsidRPr="00F62676" w:rsidRDefault="00307CB4" w:rsidP="00AC00FB">
      <w:pPr>
        <w:pStyle w:val="ListParagraph"/>
        <w:numPr>
          <w:ilvl w:val="0"/>
          <w:numId w:val="21"/>
        </w:numPr>
      </w:pPr>
      <w:r w:rsidRPr="00F62676">
        <w:t xml:space="preserve">There shall be no special characters not belonging to the combinations in any configuration cell, no spaces “ “, “/”, “.”, “.”, or </w:t>
      </w:r>
      <w:r w:rsidR="004301FC">
        <w:t xml:space="preserve">any </w:t>
      </w:r>
      <w:r w:rsidRPr="00F62676">
        <w:t xml:space="preserve">other special characters </w:t>
      </w:r>
    </w:p>
    <w:p w14:paraId="49BDA3CF" w14:textId="6750BD1F" w:rsidR="008D5892" w:rsidRPr="00F62676" w:rsidRDefault="008D5892" w:rsidP="00AC00FB">
      <w:pPr>
        <w:pStyle w:val="ListParagraph"/>
        <w:numPr>
          <w:ilvl w:val="0"/>
          <w:numId w:val="21"/>
        </w:numPr>
      </w:pPr>
      <w:r w:rsidRPr="00F62676">
        <w:t>If there are notes for a specific configuration, the note shall be using superscript font and added at the end of the configuration</w:t>
      </w:r>
      <w:r w:rsidR="004301FC">
        <w:t xml:space="preserve"> list within a cell</w:t>
      </w:r>
      <w:r w:rsidRPr="00F62676">
        <w:t>, not anywhere within the configuration or separated with any other characters</w:t>
      </w:r>
      <w:r w:rsidR="009531A4" w:rsidRPr="00F62676">
        <w:t>, multiple notes shall be separated just by a comma, all in superscript.</w:t>
      </w:r>
    </w:p>
    <w:p w14:paraId="5B4C5052" w14:textId="262AB966" w:rsidR="00954C21" w:rsidRPr="00F62676" w:rsidRDefault="00954C21" w:rsidP="00954C21">
      <w:pPr>
        <w:pStyle w:val="TOC1"/>
        <w:rPr>
          <w:noProof/>
        </w:rPr>
      </w:pPr>
      <w:r w:rsidRPr="00F62676">
        <w:rPr>
          <w:noProof/>
        </w:rPr>
        <w:t>Proposal 2:</w:t>
      </w:r>
      <w:r w:rsidRPr="00F62676">
        <w:rPr>
          <w:noProof/>
        </w:rPr>
        <w:tab/>
        <w:t xml:space="preserve">RAN4 confirms the usage of the above rules </w:t>
      </w:r>
      <w:r w:rsidR="008A13D1">
        <w:rPr>
          <w:noProof/>
        </w:rPr>
        <w:t xml:space="preserve">in chapter 3 </w:t>
      </w:r>
      <w:r w:rsidRPr="00F62676">
        <w:rPr>
          <w:noProof/>
        </w:rPr>
        <w:t xml:space="preserve">for </w:t>
      </w:r>
      <w:r w:rsidR="008A13D1">
        <w:rPr>
          <w:noProof/>
        </w:rPr>
        <w:t xml:space="preserve">applying </w:t>
      </w:r>
      <w:r w:rsidRPr="00F62676">
        <w:rPr>
          <w:noProof/>
        </w:rPr>
        <w:t>the notation of CA or DC configurations within the 36.101 and 38.101 specifications</w:t>
      </w:r>
    </w:p>
    <w:p w14:paraId="0C87FBE4" w14:textId="77777777" w:rsidR="00EC497F" w:rsidRPr="00F62676" w:rsidRDefault="00EC497F" w:rsidP="004B36D7"/>
    <w:p w14:paraId="24AA7A87" w14:textId="19EE97A6" w:rsidR="005403C1" w:rsidRPr="00F62676" w:rsidRDefault="005403C1" w:rsidP="005403C1">
      <w:pPr>
        <w:pStyle w:val="Heading1"/>
      </w:pPr>
      <w:r w:rsidRPr="00F62676">
        <w:t>4</w:t>
      </w:r>
      <w:r w:rsidRPr="00F62676">
        <w:tab/>
        <w:t>Usage of band combination notations in the request sheets and WIDs</w:t>
      </w:r>
    </w:p>
    <w:p w14:paraId="3B2B49CF" w14:textId="13A7A85E" w:rsidR="005403C1" w:rsidRPr="00F62676" w:rsidRDefault="004301FC" w:rsidP="005403C1">
      <w:r>
        <w:t>As agreed some years ago,</w:t>
      </w:r>
      <w:r w:rsidR="005403C1" w:rsidRPr="00F62676">
        <w:t xml:space="preserve"> we use th</w:t>
      </w:r>
      <w:r>
        <w:t>e configurations</w:t>
      </w:r>
      <w:r w:rsidR="005403C1" w:rsidRPr="00F62676">
        <w:t xml:space="preserve"> notation</w:t>
      </w:r>
      <w:r>
        <w:t xml:space="preserve"> discussed above</w:t>
      </w:r>
      <w:r w:rsidR="005403C1" w:rsidRPr="00F62676">
        <w:t xml:space="preserve"> </w:t>
      </w:r>
      <w:r>
        <w:t xml:space="preserve">also </w:t>
      </w:r>
      <w:r w:rsidR="005403C1" w:rsidRPr="00F62676">
        <w:t>for the CA/DC configurations</w:t>
      </w:r>
      <w:r>
        <w:t xml:space="preserve"> in the columns for the CA/DC configurations for DL and UL in the request sheets and the combination tables within the WIDs</w:t>
      </w:r>
      <w:r w:rsidR="005403C1" w:rsidRPr="00F62676">
        <w:t xml:space="preserve">. However, we have seen multiple bugs within the specs, which require to remind everyone working with the </w:t>
      </w:r>
      <w:r>
        <w:t>request sheets and WIDs</w:t>
      </w:r>
      <w:r w:rsidR="005403C1" w:rsidRPr="00F62676">
        <w:t xml:space="preserve"> how to handle the CA/DC configurations</w:t>
      </w:r>
      <w:r>
        <w:t xml:space="preserve"> in the WIDs</w:t>
      </w:r>
      <w:r w:rsidR="005403C1" w:rsidRPr="00F62676">
        <w:t xml:space="preserve">. Here are some general rules how to implement these band combinations within the CA/DC configurations </w:t>
      </w:r>
      <w:r>
        <w:t xml:space="preserve">lists </w:t>
      </w:r>
      <w:r w:rsidR="005403C1" w:rsidRPr="00F62676">
        <w:t xml:space="preserve">within the </w:t>
      </w:r>
      <w:r>
        <w:t>excel tables in the request sheets and WIDs</w:t>
      </w:r>
      <w:r w:rsidR="005403C1" w:rsidRPr="00F62676">
        <w:t xml:space="preserve"> 5.5:</w:t>
      </w:r>
    </w:p>
    <w:p w14:paraId="45CA6AF8" w14:textId="3206FCA5" w:rsidR="00954C21" w:rsidRDefault="005403C1" w:rsidP="005403C1">
      <w:pPr>
        <w:pStyle w:val="ListParagraph"/>
        <w:numPr>
          <w:ilvl w:val="0"/>
          <w:numId w:val="21"/>
        </w:numPr>
      </w:pPr>
      <w:r w:rsidRPr="00F62676">
        <w:t xml:space="preserve">Each cell of the </w:t>
      </w:r>
      <w:r w:rsidR="00954C21" w:rsidRPr="00F62676">
        <w:t xml:space="preserve">CA or DC </w:t>
      </w:r>
      <w:r w:rsidRPr="00F62676">
        <w:t xml:space="preserve">configuration </w:t>
      </w:r>
      <w:r w:rsidR="00954C21" w:rsidRPr="00F62676">
        <w:t>column</w:t>
      </w:r>
      <w:r w:rsidRPr="00F62676">
        <w:t xml:space="preserve"> </w:t>
      </w:r>
      <w:r w:rsidR="00E375E7">
        <w:t xml:space="preserve">in the Excel tables </w:t>
      </w:r>
      <w:r w:rsidRPr="00F62676">
        <w:t>sh</w:t>
      </w:r>
      <w:r w:rsidR="00954C21" w:rsidRPr="00F62676">
        <w:t>all</w:t>
      </w:r>
      <w:r w:rsidRPr="00F62676">
        <w:t xml:space="preserve"> contain only one </w:t>
      </w:r>
      <w:r w:rsidR="004301FC">
        <w:t xml:space="preserve">single </w:t>
      </w:r>
      <w:r w:rsidR="00954C21" w:rsidRPr="00F62676">
        <w:t>CA/DC configuration</w:t>
      </w:r>
      <w:r w:rsidR="00E375E7">
        <w:t xml:space="preserve"> using the notation of the configurations as discussed above</w:t>
      </w:r>
    </w:p>
    <w:p w14:paraId="7ABE1A00" w14:textId="67D1D3A3" w:rsidR="00E375E7" w:rsidRPr="00F62676" w:rsidRDefault="00E375E7" w:rsidP="005403C1">
      <w:pPr>
        <w:pStyle w:val="ListParagraph"/>
        <w:numPr>
          <w:ilvl w:val="0"/>
          <w:numId w:val="21"/>
        </w:numPr>
      </w:pPr>
      <w:r>
        <w:t>Similar CA or DC configurations with different bandwidth classes shall use another row in the same column of the table.</w:t>
      </w:r>
    </w:p>
    <w:p w14:paraId="5C34A8C7" w14:textId="344125D7" w:rsidR="00E375E7" w:rsidRDefault="00954C21" w:rsidP="00E375E7">
      <w:pPr>
        <w:pStyle w:val="ListParagraph"/>
        <w:numPr>
          <w:ilvl w:val="0"/>
          <w:numId w:val="21"/>
        </w:numPr>
      </w:pPr>
      <w:r w:rsidRPr="00F62676">
        <w:t xml:space="preserve">The UL configurations column shall only contain the UL configurations </w:t>
      </w:r>
      <w:r w:rsidR="00E375E7">
        <w:t xml:space="preserve">valid </w:t>
      </w:r>
      <w:r w:rsidRPr="00F62676">
        <w:t xml:space="preserve">for the CA/DC configuration in the same </w:t>
      </w:r>
      <w:r w:rsidR="00E375E7">
        <w:t>row, if there are multiple valid UL configurations they can be listed one after the other separated with “, “ (a comma followed by a space), but they can also be using a single completely filled row for each of the valid UL configurations</w:t>
      </w:r>
    </w:p>
    <w:p w14:paraId="335A8B63" w14:textId="5343DDA8" w:rsidR="00E375E7" w:rsidRPr="00F62676" w:rsidRDefault="00E375E7" w:rsidP="005403C1">
      <w:pPr>
        <w:pStyle w:val="ListParagraph"/>
        <w:numPr>
          <w:ilvl w:val="0"/>
          <w:numId w:val="21"/>
        </w:numPr>
      </w:pPr>
      <w:r>
        <w:t>There shall be no merged cells in the table</w:t>
      </w:r>
    </w:p>
    <w:p w14:paraId="6B9078E1" w14:textId="41B516EF" w:rsidR="00F62676" w:rsidRPr="00F62676" w:rsidRDefault="00F62676" w:rsidP="005403C1">
      <w:pPr>
        <w:pStyle w:val="ListParagraph"/>
        <w:numPr>
          <w:ilvl w:val="0"/>
          <w:numId w:val="21"/>
        </w:numPr>
      </w:pPr>
      <w:r w:rsidRPr="00F62676">
        <w:t>The WI rapporteur checks if the notation of the CA/DC configurations is correct and if not returns the request to the requestor.</w:t>
      </w:r>
      <w:r w:rsidR="00E375E7">
        <w:t xml:space="preserve"> Incorrect requests should not be added to the table in the WID</w:t>
      </w:r>
    </w:p>
    <w:p w14:paraId="478299C2" w14:textId="04F979AF" w:rsidR="00B36F08" w:rsidRPr="00F62676" w:rsidRDefault="00B36F08" w:rsidP="0009755D"/>
    <w:p w14:paraId="7DF18889" w14:textId="77C43760" w:rsidR="00954C21" w:rsidRPr="00F62676" w:rsidRDefault="00954C21" w:rsidP="008A13D1">
      <w:pPr>
        <w:pStyle w:val="TOC1"/>
        <w:rPr>
          <w:noProof/>
        </w:rPr>
      </w:pPr>
      <w:r w:rsidRPr="00F62676">
        <w:rPr>
          <w:noProof/>
        </w:rPr>
        <w:t>Proposal 3:</w:t>
      </w:r>
      <w:r w:rsidRPr="00F62676">
        <w:rPr>
          <w:noProof/>
        </w:rPr>
        <w:tab/>
        <w:t xml:space="preserve">RAN4 confirms the usage of the above rules </w:t>
      </w:r>
      <w:r w:rsidR="008A13D1">
        <w:rPr>
          <w:noProof/>
        </w:rPr>
        <w:t xml:space="preserve">in chapter 4 </w:t>
      </w:r>
      <w:r w:rsidRPr="00F62676">
        <w:rPr>
          <w:noProof/>
        </w:rPr>
        <w:t xml:space="preserve">for </w:t>
      </w:r>
      <w:r w:rsidR="008A13D1">
        <w:rPr>
          <w:noProof/>
        </w:rPr>
        <w:t xml:space="preserve">applying </w:t>
      </w:r>
      <w:r w:rsidRPr="00F62676">
        <w:rPr>
          <w:noProof/>
        </w:rPr>
        <w:t xml:space="preserve">the notation of CA or DC configurations within </w:t>
      </w:r>
      <w:r w:rsidR="00F62676" w:rsidRPr="00F62676">
        <w:rPr>
          <w:noProof/>
        </w:rPr>
        <w:t>CA/DC request sheets and the WIDs</w:t>
      </w:r>
    </w:p>
    <w:p w14:paraId="03F403D1" w14:textId="77777777" w:rsidR="00087592" w:rsidRPr="00F62676" w:rsidRDefault="00087592" w:rsidP="00012E4D"/>
    <w:p w14:paraId="34C99636" w14:textId="46E908D5" w:rsidR="008E7986" w:rsidRPr="00F62676" w:rsidRDefault="00F62676" w:rsidP="008E7986">
      <w:pPr>
        <w:pStyle w:val="Heading1"/>
      </w:pPr>
      <w:r w:rsidRPr="00F62676">
        <w:t>5</w:t>
      </w:r>
      <w:r w:rsidR="008E7986" w:rsidRPr="00F62676">
        <w:tab/>
        <w:t>Conclusions</w:t>
      </w:r>
    </w:p>
    <w:p w14:paraId="001A58A1" w14:textId="007C3A8F" w:rsidR="00E72324" w:rsidRDefault="009F6F20" w:rsidP="00E72324">
      <w:r w:rsidRPr="00F62676">
        <w:t>We draw the following conclusions</w:t>
      </w:r>
      <w:r w:rsidR="008A13D1">
        <w:t xml:space="preserve"> and have these proposals</w:t>
      </w:r>
      <w:r w:rsidRPr="00F62676">
        <w:t>:</w:t>
      </w:r>
      <w:r w:rsidR="00E72324" w:rsidRPr="00F62676">
        <w:t xml:space="preserve"> </w:t>
      </w:r>
    </w:p>
    <w:p w14:paraId="38DF1FF2" w14:textId="667F0545" w:rsidR="008A13D1" w:rsidRDefault="008A13D1" w:rsidP="00E72324">
      <w:r>
        <w:t>The rules above just summarize in more detail, what already has been agreed in RAN4. Therefore we propose the following:</w:t>
      </w:r>
    </w:p>
    <w:p w14:paraId="1B36BD25" w14:textId="77777777" w:rsidR="008A13D1" w:rsidRPr="00F62676" w:rsidRDefault="008A13D1" w:rsidP="008A13D1">
      <w:pPr>
        <w:pStyle w:val="TOC1"/>
        <w:rPr>
          <w:noProof/>
        </w:rPr>
      </w:pPr>
      <w:r w:rsidRPr="00F62676">
        <w:rPr>
          <w:noProof/>
        </w:rPr>
        <w:t>Proposal 1:</w:t>
      </w:r>
      <w:r w:rsidRPr="00F62676">
        <w:rPr>
          <w:noProof/>
        </w:rPr>
        <w:tab/>
        <w:t xml:space="preserve">RAN4 Confirms the usage of the above rules </w:t>
      </w:r>
      <w:r>
        <w:rPr>
          <w:noProof/>
        </w:rPr>
        <w:t xml:space="preserve">in chapter 2.3 </w:t>
      </w:r>
      <w:r w:rsidRPr="00F62676">
        <w:rPr>
          <w:noProof/>
        </w:rPr>
        <w:t>for the notation of CA or DC configurations</w:t>
      </w:r>
    </w:p>
    <w:p w14:paraId="58F86AEB" w14:textId="4994B524" w:rsidR="008A13D1" w:rsidRPr="00F62676" w:rsidRDefault="008A13D1" w:rsidP="008A13D1">
      <w:pPr>
        <w:pStyle w:val="TOC1"/>
        <w:rPr>
          <w:noProof/>
        </w:rPr>
      </w:pPr>
      <w:r w:rsidRPr="00F62676">
        <w:rPr>
          <w:noProof/>
        </w:rPr>
        <w:t>Proposal 2:</w:t>
      </w:r>
      <w:r w:rsidRPr="00F62676">
        <w:rPr>
          <w:noProof/>
        </w:rPr>
        <w:tab/>
        <w:t xml:space="preserve">RAN4 confirms the usage of the above rules </w:t>
      </w:r>
      <w:r>
        <w:rPr>
          <w:noProof/>
        </w:rPr>
        <w:t xml:space="preserve">in chapter 3 </w:t>
      </w:r>
      <w:r w:rsidRPr="00F62676">
        <w:rPr>
          <w:noProof/>
        </w:rPr>
        <w:t xml:space="preserve">for </w:t>
      </w:r>
      <w:r>
        <w:rPr>
          <w:noProof/>
        </w:rPr>
        <w:t xml:space="preserve">applying </w:t>
      </w:r>
      <w:r w:rsidRPr="00F62676">
        <w:rPr>
          <w:noProof/>
        </w:rPr>
        <w:t>the notation of CA or DC configurations within the 36.101 and 38.101 specifications</w:t>
      </w:r>
    </w:p>
    <w:p w14:paraId="726D81DF" w14:textId="77777777" w:rsidR="008A13D1" w:rsidRPr="00F62676" w:rsidRDefault="008A13D1" w:rsidP="008A13D1">
      <w:pPr>
        <w:pStyle w:val="TOC1"/>
        <w:rPr>
          <w:noProof/>
        </w:rPr>
      </w:pPr>
      <w:r w:rsidRPr="00F62676">
        <w:rPr>
          <w:noProof/>
        </w:rPr>
        <w:t>Proposal 3:</w:t>
      </w:r>
      <w:r w:rsidRPr="00F62676">
        <w:rPr>
          <w:noProof/>
        </w:rPr>
        <w:tab/>
        <w:t xml:space="preserve">RAN4 confirms the usage of the above rules </w:t>
      </w:r>
      <w:r>
        <w:rPr>
          <w:noProof/>
        </w:rPr>
        <w:t xml:space="preserve">in chapter 4 </w:t>
      </w:r>
      <w:r w:rsidRPr="00F62676">
        <w:rPr>
          <w:noProof/>
        </w:rPr>
        <w:t xml:space="preserve">for </w:t>
      </w:r>
      <w:r>
        <w:rPr>
          <w:noProof/>
        </w:rPr>
        <w:t xml:space="preserve">applying </w:t>
      </w:r>
      <w:r w:rsidRPr="00F62676">
        <w:rPr>
          <w:noProof/>
        </w:rPr>
        <w:t>the notation of CA or DC configurations within CA/DC request sheets and the WIDs</w:t>
      </w:r>
    </w:p>
    <w:bookmarkEnd w:id="0"/>
    <w:p w14:paraId="36463FF4" w14:textId="77777777" w:rsidR="008A13D1" w:rsidRPr="00F62676" w:rsidRDefault="008A13D1" w:rsidP="00E72324"/>
    <w:sectPr w:rsidR="008A13D1" w:rsidRPr="00F6267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771FC" w14:textId="77777777" w:rsidR="00311304" w:rsidRDefault="00311304">
      <w:r>
        <w:separator/>
      </w:r>
    </w:p>
  </w:endnote>
  <w:endnote w:type="continuationSeparator" w:id="0">
    <w:p w14:paraId="19832B65" w14:textId="77777777" w:rsidR="00311304" w:rsidRDefault="00311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4B36D7" w:rsidRDefault="004B36D7">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85BEC" w14:textId="77777777" w:rsidR="00311304" w:rsidRDefault="00311304">
      <w:r>
        <w:separator/>
      </w:r>
    </w:p>
  </w:footnote>
  <w:footnote w:type="continuationSeparator" w:id="0">
    <w:p w14:paraId="38438747" w14:textId="77777777" w:rsidR="00311304" w:rsidRDefault="00311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DC8A1A82"/>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B13C35"/>
    <w:multiLevelType w:val="hybridMultilevel"/>
    <w:tmpl w:val="1AD4A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10"/>
  </w:num>
  <w:num w:numId="8">
    <w:abstractNumId w:val="3"/>
  </w:num>
  <w:num w:numId="9">
    <w:abstractNumId w:val="7"/>
  </w:num>
  <w:num w:numId="10">
    <w:abstractNumId w:val="2"/>
  </w:num>
  <w:num w:numId="11">
    <w:abstractNumId w:val="11"/>
  </w:num>
  <w:num w:numId="12">
    <w:abstractNumId w:val="5"/>
  </w:num>
  <w:num w:numId="13">
    <w:abstractNumId w:val="6"/>
  </w:num>
  <w:num w:numId="14">
    <w:abstractNumId w:val="16"/>
  </w:num>
  <w:num w:numId="15">
    <w:abstractNumId w:val="4"/>
  </w:num>
  <w:num w:numId="16">
    <w:abstractNumId w:val="12"/>
  </w:num>
  <w:num w:numId="17">
    <w:abstractNumId w:val="8"/>
  </w:num>
  <w:num w:numId="18">
    <w:abstractNumId w:val="14"/>
  </w:num>
  <w:num w:numId="19">
    <w:abstractNumId w:val="17"/>
  </w:num>
  <w:num w:numId="20">
    <w:abstractNumId w:val="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BF"/>
    <w:rsid w:val="00012E4D"/>
    <w:rsid w:val="000255A7"/>
    <w:rsid w:val="00025CDD"/>
    <w:rsid w:val="00033397"/>
    <w:rsid w:val="00040095"/>
    <w:rsid w:val="00051834"/>
    <w:rsid w:val="00054A22"/>
    <w:rsid w:val="00055B36"/>
    <w:rsid w:val="00061E44"/>
    <w:rsid w:val="00062023"/>
    <w:rsid w:val="000655A6"/>
    <w:rsid w:val="00067C7B"/>
    <w:rsid w:val="00080512"/>
    <w:rsid w:val="00086746"/>
    <w:rsid w:val="00087592"/>
    <w:rsid w:val="0009755D"/>
    <w:rsid w:val="000A2DD7"/>
    <w:rsid w:val="000A365D"/>
    <w:rsid w:val="000C47C3"/>
    <w:rsid w:val="000C7B5A"/>
    <w:rsid w:val="000D58AB"/>
    <w:rsid w:val="000D610D"/>
    <w:rsid w:val="000E5B3C"/>
    <w:rsid w:val="00104BC6"/>
    <w:rsid w:val="0012087C"/>
    <w:rsid w:val="00122B1F"/>
    <w:rsid w:val="00124FD7"/>
    <w:rsid w:val="001277F9"/>
    <w:rsid w:val="00133525"/>
    <w:rsid w:val="00136FA6"/>
    <w:rsid w:val="001439D6"/>
    <w:rsid w:val="00146EA0"/>
    <w:rsid w:val="00157FC7"/>
    <w:rsid w:val="00161EF5"/>
    <w:rsid w:val="00175496"/>
    <w:rsid w:val="00196EAF"/>
    <w:rsid w:val="0019748B"/>
    <w:rsid w:val="001A29F8"/>
    <w:rsid w:val="001A4A9A"/>
    <w:rsid w:val="001A4C42"/>
    <w:rsid w:val="001C21C3"/>
    <w:rsid w:val="001C56ED"/>
    <w:rsid w:val="001D02C2"/>
    <w:rsid w:val="001E41C1"/>
    <w:rsid w:val="001F0C1D"/>
    <w:rsid w:val="001F1132"/>
    <w:rsid w:val="001F168B"/>
    <w:rsid w:val="001F6FEF"/>
    <w:rsid w:val="00203C41"/>
    <w:rsid w:val="00216D1B"/>
    <w:rsid w:val="00223880"/>
    <w:rsid w:val="002347A2"/>
    <w:rsid w:val="002450D8"/>
    <w:rsid w:val="00247926"/>
    <w:rsid w:val="00254F29"/>
    <w:rsid w:val="00265B4B"/>
    <w:rsid w:val="002675F0"/>
    <w:rsid w:val="00276EE4"/>
    <w:rsid w:val="002954D8"/>
    <w:rsid w:val="002A083A"/>
    <w:rsid w:val="002A4617"/>
    <w:rsid w:val="002A48F5"/>
    <w:rsid w:val="002B6339"/>
    <w:rsid w:val="002D655D"/>
    <w:rsid w:val="002E00EE"/>
    <w:rsid w:val="002E4E4F"/>
    <w:rsid w:val="002F2CF6"/>
    <w:rsid w:val="00307ABC"/>
    <w:rsid w:val="00307CB4"/>
    <w:rsid w:val="0031034F"/>
    <w:rsid w:val="00311304"/>
    <w:rsid w:val="0031282D"/>
    <w:rsid w:val="003172DC"/>
    <w:rsid w:val="00332C54"/>
    <w:rsid w:val="0035462D"/>
    <w:rsid w:val="00360686"/>
    <w:rsid w:val="003631EB"/>
    <w:rsid w:val="00366A6D"/>
    <w:rsid w:val="003753AF"/>
    <w:rsid w:val="003765B8"/>
    <w:rsid w:val="0038066E"/>
    <w:rsid w:val="00396185"/>
    <w:rsid w:val="003A0483"/>
    <w:rsid w:val="003C3971"/>
    <w:rsid w:val="003C564B"/>
    <w:rsid w:val="003E7753"/>
    <w:rsid w:val="003F27D4"/>
    <w:rsid w:val="003F6020"/>
    <w:rsid w:val="0041050A"/>
    <w:rsid w:val="00423334"/>
    <w:rsid w:val="004301FC"/>
    <w:rsid w:val="004345EC"/>
    <w:rsid w:val="004826A9"/>
    <w:rsid w:val="00483BE7"/>
    <w:rsid w:val="004B2602"/>
    <w:rsid w:val="004B36D7"/>
    <w:rsid w:val="004B5103"/>
    <w:rsid w:val="004C0E2D"/>
    <w:rsid w:val="004C1601"/>
    <w:rsid w:val="004C3481"/>
    <w:rsid w:val="004D034A"/>
    <w:rsid w:val="004D1925"/>
    <w:rsid w:val="004D3578"/>
    <w:rsid w:val="004D40A9"/>
    <w:rsid w:val="004E213A"/>
    <w:rsid w:val="004E2B61"/>
    <w:rsid w:val="004F0988"/>
    <w:rsid w:val="004F3340"/>
    <w:rsid w:val="004F3E3D"/>
    <w:rsid w:val="00526CFF"/>
    <w:rsid w:val="0053388B"/>
    <w:rsid w:val="00535773"/>
    <w:rsid w:val="005403C1"/>
    <w:rsid w:val="00543E6C"/>
    <w:rsid w:val="00551FC5"/>
    <w:rsid w:val="0055565E"/>
    <w:rsid w:val="00561AFF"/>
    <w:rsid w:val="00565087"/>
    <w:rsid w:val="005721BB"/>
    <w:rsid w:val="00572E14"/>
    <w:rsid w:val="005856CE"/>
    <w:rsid w:val="005908F0"/>
    <w:rsid w:val="005973BE"/>
    <w:rsid w:val="005A5986"/>
    <w:rsid w:val="005B1A11"/>
    <w:rsid w:val="005C4E53"/>
    <w:rsid w:val="005D0AA9"/>
    <w:rsid w:val="005D2E01"/>
    <w:rsid w:val="005D5310"/>
    <w:rsid w:val="005D7526"/>
    <w:rsid w:val="005E69AE"/>
    <w:rsid w:val="00602AEA"/>
    <w:rsid w:val="00607E3C"/>
    <w:rsid w:val="00614838"/>
    <w:rsid w:val="00614FDF"/>
    <w:rsid w:val="00615280"/>
    <w:rsid w:val="006246A7"/>
    <w:rsid w:val="0062595A"/>
    <w:rsid w:val="00630786"/>
    <w:rsid w:val="00634730"/>
    <w:rsid w:val="0063543D"/>
    <w:rsid w:val="00646CAF"/>
    <w:rsid w:val="00647114"/>
    <w:rsid w:val="00650B54"/>
    <w:rsid w:val="00654D3E"/>
    <w:rsid w:val="006675E6"/>
    <w:rsid w:val="006704EC"/>
    <w:rsid w:val="00671C7E"/>
    <w:rsid w:val="006A323F"/>
    <w:rsid w:val="006B30D0"/>
    <w:rsid w:val="006C3D95"/>
    <w:rsid w:val="006D43A6"/>
    <w:rsid w:val="006E5C86"/>
    <w:rsid w:val="00713C44"/>
    <w:rsid w:val="00715490"/>
    <w:rsid w:val="00716FAD"/>
    <w:rsid w:val="00720FD9"/>
    <w:rsid w:val="00721F55"/>
    <w:rsid w:val="00730687"/>
    <w:rsid w:val="00734A5B"/>
    <w:rsid w:val="007368AE"/>
    <w:rsid w:val="0074026F"/>
    <w:rsid w:val="007429F6"/>
    <w:rsid w:val="00744E76"/>
    <w:rsid w:val="00752198"/>
    <w:rsid w:val="0075242E"/>
    <w:rsid w:val="00753756"/>
    <w:rsid w:val="00753881"/>
    <w:rsid w:val="00765D86"/>
    <w:rsid w:val="007713D4"/>
    <w:rsid w:val="00774DA4"/>
    <w:rsid w:val="00774F1E"/>
    <w:rsid w:val="00781A53"/>
    <w:rsid w:val="00781D07"/>
    <w:rsid w:val="00781F0F"/>
    <w:rsid w:val="00782965"/>
    <w:rsid w:val="0078318F"/>
    <w:rsid w:val="0079230F"/>
    <w:rsid w:val="007A0324"/>
    <w:rsid w:val="007A634D"/>
    <w:rsid w:val="007B600E"/>
    <w:rsid w:val="007B6097"/>
    <w:rsid w:val="007B6CBA"/>
    <w:rsid w:val="007D6D85"/>
    <w:rsid w:val="007E405D"/>
    <w:rsid w:val="007F0F4A"/>
    <w:rsid w:val="008007D9"/>
    <w:rsid w:val="008028A4"/>
    <w:rsid w:val="00820B25"/>
    <w:rsid w:val="00830747"/>
    <w:rsid w:val="00835F8C"/>
    <w:rsid w:val="00867766"/>
    <w:rsid w:val="00871E3D"/>
    <w:rsid w:val="008757AE"/>
    <w:rsid w:val="008768CA"/>
    <w:rsid w:val="0088503B"/>
    <w:rsid w:val="00895B5E"/>
    <w:rsid w:val="008A13D1"/>
    <w:rsid w:val="008A7188"/>
    <w:rsid w:val="008B0466"/>
    <w:rsid w:val="008C384C"/>
    <w:rsid w:val="008D5892"/>
    <w:rsid w:val="008E1FF8"/>
    <w:rsid w:val="008E7986"/>
    <w:rsid w:val="008F0727"/>
    <w:rsid w:val="008F6E93"/>
    <w:rsid w:val="0090271F"/>
    <w:rsid w:val="00902E23"/>
    <w:rsid w:val="00910841"/>
    <w:rsid w:val="009114D7"/>
    <w:rsid w:val="0091348E"/>
    <w:rsid w:val="00917CCB"/>
    <w:rsid w:val="00925F00"/>
    <w:rsid w:val="00942EC2"/>
    <w:rsid w:val="00943D31"/>
    <w:rsid w:val="0094517D"/>
    <w:rsid w:val="009531A4"/>
    <w:rsid w:val="009536FA"/>
    <w:rsid w:val="00954C21"/>
    <w:rsid w:val="009672EC"/>
    <w:rsid w:val="00973F6E"/>
    <w:rsid w:val="009826B3"/>
    <w:rsid w:val="00991F35"/>
    <w:rsid w:val="00996113"/>
    <w:rsid w:val="00997281"/>
    <w:rsid w:val="009A2BFA"/>
    <w:rsid w:val="009A6DA8"/>
    <w:rsid w:val="009D46F4"/>
    <w:rsid w:val="009E13C5"/>
    <w:rsid w:val="009E6E52"/>
    <w:rsid w:val="009F37B7"/>
    <w:rsid w:val="009F5E43"/>
    <w:rsid w:val="009F6F20"/>
    <w:rsid w:val="00A10F02"/>
    <w:rsid w:val="00A11A5E"/>
    <w:rsid w:val="00A15927"/>
    <w:rsid w:val="00A164B4"/>
    <w:rsid w:val="00A16F12"/>
    <w:rsid w:val="00A26956"/>
    <w:rsid w:val="00A53724"/>
    <w:rsid w:val="00A55310"/>
    <w:rsid w:val="00A576F4"/>
    <w:rsid w:val="00A6171D"/>
    <w:rsid w:val="00A73129"/>
    <w:rsid w:val="00A75A83"/>
    <w:rsid w:val="00A7650B"/>
    <w:rsid w:val="00A82346"/>
    <w:rsid w:val="00A85926"/>
    <w:rsid w:val="00A91741"/>
    <w:rsid w:val="00A9187D"/>
    <w:rsid w:val="00A92BA1"/>
    <w:rsid w:val="00AA4CC1"/>
    <w:rsid w:val="00AB45B0"/>
    <w:rsid w:val="00AB75C8"/>
    <w:rsid w:val="00AC00FB"/>
    <w:rsid w:val="00AC6BC6"/>
    <w:rsid w:val="00AD081C"/>
    <w:rsid w:val="00AE3797"/>
    <w:rsid w:val="00AE7664"/>
    <w:rsid w:val="00AF6377"/>
    <w:rsid w:val="00B03B5E"/>
    <w:rsid w:val="00B15449"/>
    <w:rsid w:val="00B17447"/>
    <w:rsid w:val="00B25345"/>
    <w:rsid w:val="00B36F08"/>
    <w:rsid w:val="00B474C6"/>
    <w:rsid w:val="00B51F12"/>
    <w:rsid w:val="00B61020"/>
    <w:rsid w:val="00B654AB"/>
    <w:rsid w:val="00B66CC5"/>
    <w:rsid w:val="00B93086"/>
    <w:rsid w:val="00B94FE3"/>
    <w:rsid w:val="00BA13F1"/>
    <w:rsid w:val="00BA19ED"/>
    <w:rsid w:val="00BA300B"/>
    <w:rsid w:val="00BA4B8D"/>
    <w:rsid w:val="00BB40B8"/>
    <w:rsid w:val="00BC0F7D"/>
    <w:rsid w:val="00BE3255"/>
    <w:rsid w:val="00BF128E"/>
    <w:rsid w:val="00BF7222"/>
    <w:rsid w:val="00C06E73"/>
    <w:rsid w:val="00C1496A"/>
    <w:rsid w:val="00C33079"/>
    <w:rsid w:val="00C45231"/>
    <w:rsid w:val="00C479BF"/>
    <w:rsid w:val="00C50B29"/>
    <w:rsid w:val="00C554F2"/>
    <w:rsid w:val="00C72833"/>
    <w:rsid w:val="00C80640"/>
    <w:rsid w:val="00C80F1D"/>
    <w:rsid w:val="00C92816"/>
    <w:rsid w:val="00C93F40"/>
    <w:rsid w:val="00CA3D0C"/>
    <w:rsid w:val="00CD7EB7"/>
    <w:rsid w:val="00CE2FAD"/>
    <w:rsid w:val="00CF00DF"/>
    <w:rsid w:val="00CF20E3"/>
    <w:rsid w:val="00CF3390"/>
    <w:rsid w:val="00CF7363"/>
    <w:rsid w:val="00D045DB"/>
    <w:rsid w:val="00D13BD1"/>
    <w:rsid w:val="00D1577A"/>
    <w:rsid w:val="00D16B3A"/>
    <w:rsid w:val="00D20165"/>
    <w:rsid w:val="00D309CC"/>
    <w:rsid w:val="00D3601F"/>
    <w:rsid w:val="00D45EE8"/>
    <w:rsid w:val="00D46431"/>
    <w:rsid w:val="00D51547"/>
    <w:rsid w:val="00D554AC"/>
    <w:rsid w:val="00D56A52"/>
    <w:rsid w:val="00D57972"/>
    <w:rsid w:val="00D6413E"/>
    <w:rsid w:val="00D675A9"/>
    <w:rsid w:val="00D738D6"/>
    <w:rsid w:val="00D741FE"/>
    <w:rsid w:val="00D755EB"/>
    <w:rsid w:val="00D82277"/>
    <w:rsid w:val="00D87E00"/>
    <w:rsid w:val="00D9134D"/>
    <w:rsid w:val="00DA0588"/>
    <w:rsid w:val="00DA2D8C"/>
    <w:rsid w:val="00DA6B90"/>
    <w:rsid w:val="00DA7A03"/>
    <w:rsid w:val="00DB1818"/>
    <w:rsid w:val="00DC309B"/>
    <w:rsid w:val="00DC4DA2"/>
    <w:rsid w:val="00DD4C17"/>
    <w:rsid w:val="00DD7DBA"/>
    <w:rsid w:val="00DF2B1F"/>
    <w:rsid w:val="00DF6189"/>
    <w:rsid w:val="00DF62CD"/>
    <w:rsid w:val="00E03542"/>
    <w:rsid w:val="00E05F92"/>
    <w:rsid w:val="00E12D5A"/>
    <w:rsid w:val="00E16509"/>
    <w:rsid w:val="00E22308"/>
    <w:rsid w:val="00E255F5"/>
    <w:rsid w:val="00E3192D"/>
    <w:rsid w:val="00E375E7"/>
    <w:rsid w:val="00E44582"/>
    <w:rsid w:val="00E50039"/>
    <w:rsid w:val="00E52814"/>
    <w:rsid w:val="00E64FAA"/>
    <w:rsid w:val="00E65E13"/>
    <w:rsid w:val="00E72324"/>
    <w:rsid w:val="00E72ABE"/>
    <w:rsid w:val="00E76A34"/>
    <w:rsid w:val="00E77645"/>
    <w:rsid w:val="00E83883"/>
    <w:rsid w:val="00EB5B83"/>
    <w:rsid w:val="00EC497F"/>
    <w:rsid w:val="00EC4A25"/>
    <w:rsid w:val="00ED77BD"/>
    <w:rsid w:val="00EE1416"/>
    <w:rsid w:val="00EE3D6E"/>
    <w:rsid w:val="00EE5AA7"/>
    <w:rsid w:val="00EF0EB0"/>
    <w:rsid w:val="00EF4C60"/>
    <w:rsid w:val="00F025A2"/>
    <w:rsid w:val="00F04712"/>
    <w:rsid w:val="00F04CE1"/>
    <w:rsid w:val="00F13367"/>
    <w:rsid w:val="00F21311"/>
    <w:rsid w:val="00F22EC7"/>
    <w:rsid w:val="00F325C8"/>
    <w:rsid w:val="00F5250F"/>
    <w:rsid w:val="00F62676"/>
    <w:rsid w:val="00F62AEB"/>
    <w:rsid w:val="00F653B8"/>
    <w:rsid w:val="00F67EF5"/>
    <w:rsid w:val="00F70647"/>
    <w:rsid w:val="00F84751"/>
    <w:rsid w:val="00F97B58"/>
    <w:rsid w:val="00FA0D4A"/>
    <w:rsid w:val="00FA1266"/>
    <w:rsid w:val="00FB49CF"/>
    <w:rsid w:val="00FC05FB"/>
    <w:rsid w:val="00FC1192"/>
    <w:rsid w:val="00FC4484"/>
    <w:rsid w:val="00FD46CE"/>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nhideWhenUsed/>
    <w:qFormat/>
    <w:rsid w:val="008B0466"/>
    <w:pPr>
      <w:spacing w:before="100" w:beforeAutospacing="1" w:after="100" w:afterAutospacing="1"/>
    </w:pPr>
    <w:rPr>
      <w:rFonts w:eastAsiaTheme="minorEastAsia"/>
      <w:sz w:val="24"/>
      <w:szCs w:val="24"/>
      <w:lang w:val="de-DE"/>
    </w:rPr>
  </w:style>
  <w:style w:type="character" w:customStyle="1" w:styleId="TACChar">
    <w:name w:val="TAC Char"/>
    <w:link w:val="TAC"/>
    <w:qFormat/>
    <w:rsid w:val="0041050A"/>
    <w:rPr>
      <w:rFonts w:ascii="Arial" w:hAnsi="Arial"/>
      <w:sz w:val="18"/>
      <w:lang w:eastAsia="en-US"/>
    </w:rPr>
  </w:style>
  <w:style w:type="character" w:customStyle="1" w:styleId="TAHCar">
    <w:name w:val="TAH Car"/>
    <w:link w:val="TAH"/>
    <w:qFormat/>
    <w:rsid w:val="0041050A"/>
    <w:rPr>
      <w:rFonts w:ascii="Arial" w:hAnsi="Arial"/>
      <w:b/>
      <w:sz w:val="18"/>
      <w:lang w:eastAsia="en-US"/>
    </w:rPr>
  </w:style>
  <w:style w:type="character" w:styleId="FollowedHyperlink">
    <w:name w:val="FollowedHyperlink"/>
    <w:rsid w:val="004C3481"/>
    <w:rPr>
      <w:color w:val="954F72"/>
      <w:u w:val="single"/>
    </w:rPr>
  </w:style>
  <w:style w:type="paragraph" w:styleId="Index2">
    <w:name w:val="index 2"/>
    <w:basedOn w:val="Index1"/>
    <w:rsid w:val="004C3481"/>
    <w:pPr>
      <w:ind w:left="284"/>
    </w:pPr>
  </w:style>
  <w:style w:type="paragraph" w:styleId="Index1">
    <w:name w:val="index 1"/>
    <w:basedOn w:val="Normal"/>
    <w:rsid w:val="004C3481"/>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rsid w:val="004C3481"/>
    <w:pPr>
      <w:ind w:left="851"/>
    </w:pPr>
  </w:style>
  <w:style w:type="character" w:styleId="FootnoteReference">
    <w:name w:val="footnote reference"/>
    <w:rsid w:val="004C3481"/>
    <w:rPr>
      <w:b/>
      <w:position w:val="6"/>
      <w:sz w:val="16"/>
    </w:rPr>
  </w:style>
  <w:style w:type="paragraph" w:styleId="FootnoteText">
    <w:name w:val="footnote text"/>
    <w:basedOn w:val="Normal"/>
    <w:link w:val="FootnoteTextChar"/>
    <w:rsid w:val="004C3481"/>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basedOn w:val="DefaultParagraphFont"/>
    <w:link w:val="FootnoteText"/>
    <w:rsid w:val="004C3481"/>
    <w:rPr>
      <w:rFonts w:eastAsia="MS Mincho"/>
      <w:sz w:val="16"/>
    </w:rPr>
  </w:style>
  <w:style w:type="paragraph" w:styleId="ListBullet2">
    <w:name w:val="List Bullet 2"/>
    <w:basedOn w:val="ListBullet"/>
    <w:rsid w:val="004C3481"/>
    <w:pPr>
      <w:ind w:left="851"/>
    </w:pPr>
  </w:style>
  <w:style w:type="paragraph" w:styleId="ListBullet3">
    <w:name w:val="List Bullet 3"/>
    <w:basedOn w:val="ListBullet2"/>
    <w:rsid w:val="004C3481"/>
    <w:pPr>
      <w:ind w:left="1135"/>
    </w:pPr>
  </w:style>
  <w:style w:type="paragraph" w:styleId="ListNumber">
    <w:name w:val="List Number"/>
    <w:basedOn w:val="List"/>
    <w:rsid w:val="004C3481"/>
  </w:style>
  <w:style w:type="paragraph" w:styleId="List2">
    <w:name w:val="List 2"/>
    <w:basedOn w:val="List"/>
    <w:rsid w:val="004C3481"/>
    <w:pPr>
      <w:ind w:left="851"/>
    </w:pPr>
  </w:style>
  <w:style w:type="paragraph" w:styleId="List3">
    <w:name w:val="List 3"/>
    <w:basedOn w:val="List2"/>
    <w:rsid w:val="004C3481"/>
    <w:pPr>
      <w:ind w:left="1135"/>
    </w:pPr>
  </w:style>
  <w:style w:type="paragraph" w:styleId="List4">
    <w:name w:val="List 4"/>
    <w:basedOn w:val="List3"/>
    <w:rsid w:val="004C3481"/>
    <w:pPr>
      <w:ind w:left="1418"/>
    </w:pPr>
  </w:style>
  <w:style w:type="paragraph" w:styleId="List5">
    <w:name w:val="List 5"/>
    <w:basedOn w:val="List4"/>
    <w:rsid w:val="004C3481"/>
    <w:pPr>
      <w:ind w:left="1702"/>
    </w:pPr>
  </w:style>
  <w:style w:type="paragraph" w:styleId="List">
    <w:name w:val="List"/>
    <w:basedOn w:val="Normal"/>
    <w:rsid w:val="004C3481"/>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rsid w:val="004C3481"/>
  </w:style>
  <w:style w:type="paragraph" w:styleId="ListBullet4">
    <w:name w:val="List Bullet 4"/>
    <w:basedOn w:val="ListBullet3"/>
    <w:rsid w:val="004C3481"/>
    <w:pPr>
      <w:ind w:left="1418"/>
    </w:pPr>
  </w:style>
  <w:style w:type="paragraph" w:styleId="ListBullet5">
    <w:name w:val="List Bullet 5"/>
    <w:basedOn w:val="ListBullet4"/>
    <w:rsid w:val="004C3481"/>
    <w:pPr>
      <w:ind w:left="1702"/>
    </w:pPr>
  </w:style>
  <w:style w:type="paragraph" w:customStyle="1" w:styleId="CRCoverPage">
    <w:name w:val="CR Cover Page"/>
    <w:link w:val="CRCoverPageChar"/>
    <w:rsid w:val="004C3481"/>
    <w:pPr>
      <w:spacing w:after="120"/>
    </w:pPr>
    <w:rPr>
      <w:rFonts w:ascii="Arial" w:eastAsia="Malgun Gothic" w:hAnsi="Arial"/>
      <w:lang w:eastAsia="ko-KR"/>
    </w:rPr>
  </w:style>
  <w:style w:type="character" w:styleId="CommentReference">
    <w:name w:val="annotation reference"/>
    <w:uiPriority w:val="99"/>
    <w:rsid w:val="004C3481"/>
    <w:rPr>
      <w:sz w:val="16"/>
    </w:rPr>
  </w:style>
  <w:style w:type="paragraph" w:styleId="CommentText">
    <w:name w:val="annotation text"/>
    <w:basedOn w:val="Normal"/>
    <w:link w:val="CommentTextChar"/>
    <w:uiPriority w:val="99"/>
    <w:rsid w:val="004C3481"/>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4C3481"/>
    <w:rPr>
      <w:rFonts w:eastAsia="MS Mincho"/>
    </w:rPr>
  </w:style>
  <w:style w:type="paragraph" w:styleId="CommentSubject">
    <w:name w:val="annotation subject"/>
    <w:basedOn w:val="CommentText"/>
    <w:next w:val="CommentText"/>
    <w:link w:val="CommentSubjectChar"/>
    <w:rsid w:val="004C3481"/>
    <w:rPr>
      <w:b/>
      <w:bCs/>
    </w:rPr>
  </w:style>
  <w:style w:type="character" w:customStyle="1" w:styleId="CommentSubjectChar">
    <w:name w:val="Comment Subject Char"/>
    <w:basedOn w:val="CommentTextChar"/>
    <w:link w:val="CommentSubject"/>
    <w:rsid w:val="004C3481"/>
    <w:rPr>
      <w:rFonts w:eastAsia="MS Mincho"/>
      <w:b/>
      <w:bCs/>
    </w:rPr>
  </w:style>
  <w:style w:type="paragraph" w:styleId="DocumentMap">
    <w:name w:val="Document Map"/>
    <w:basedOn w:val="Normal"/>
    <w:link w:val="DocumentMapChar"/>
    <w:rsid w:val="004C3481"/>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rsid w:val="004C3481"/>
    <w:rPr>
      <w:rFonts w:ascii="Tahoma" w:eastAsia="MS Mincho" w:hAnsi="Tahoma"/>
      <w:shd w:val="clear" w:color="auto" w:fill="000080"/>
    </w:rPr>
  </w:style>
  <w:style w:type="character" w:customStyle="1" w:styleId="UnresolvedMention1">
    <w:name w:val="Unresolved Mention1"/>
    <w:uiPriority w:val="99"/>
    <w:semiHidden/>
    <w:unhideWhenUsed/>
    <w:rsid w:val="004C3481"/>
    <w:rPr>
      <w:color w:val="808080"/>
      <w:shd w:val="clear" w:color="auto" w:fill="E6E6E6"/>
    </w:rPr>
  </w:style>
  <w:style w:type="paragraph" w:customStyle="1" w:styleId="B1">
    <w:name w:val="B1+"/>
    <w:basedOn w:val="B10"/>
    <w:rsid w:val="004C3481"/>
    <w:pPr>
      <w:numPr>
        <w:numId w:val="13"/>
      </w:numPr>
      <w:overflowPunct w:val="0"/>
      <w:autoSpaceDE w:val="0"/>
      <w:autoSpaceDN w:val="0"/>
      <w:adjustRightInd w:val="0"/>
      <w:textAlignment w:val="baseline"/>
    </w:pPr>
    <w:rPr>
      <w:rFonts w:eastAsia="MS Mincho"/>
      <w:lang w:eastAsia="en-GB"/>
    </w:rPr>
  </w:style>
  <w:style w:type="character" w:customStyle="1" w:styleId="THChar">
    <w:name w:val="TH Char"/>
    <w:link w:val="TH"/>
    <w:qFormat/>
    <w:rsid w:val="004C3481"/>
    <w:rPr>
      <w:rFonts w:ascii="Arial" w:hAnsi="Arial"/>
      <w:b/>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4C3481"/>
    <w:rPr>
      <w:rFonts w:ascii="Arial" w:hAnsi="Arial"/>
      <w:sz w:val="28"/>
      <w:lang w:eastAsia="en-US"/>
    </w:rPr>
  </w:style>
  <w:style w:type="character" w:customStyle="1" w:styleId="NOChar">
    <w:name w:val="NO Char"/>
    <w:link w:val="NO"/>
    <w:qFormat/>
    <w:rsid w:val="004C3481"/>
    <w:rPr>
      <w:lang w:eastAsia="en-US"/>
    </w:rPr>
  </w:style>
  <w:style w:type="character" w:customStyle="1" w:styleId="TANChar">
    <w:name w:val="TAN Char"/>
    <w:link w:val="TAN"/>
    <w:qFormat/>
    <w:rsid w:val="004C3481"/>
    <w:rPr>
      <w:rFonts w:ascii="Arial" w:hAnsi="Arial"/>
      <w:sz w:val="18"/>
      <w:lang w:eastAsia="en-US"/>
    </w:rPr>
  </w:style>
  <w:style w:type="character" w:customStyle="1" w:styleId="B1Char">
    <w:name w:val="B1 Char"/>
    <w:link w:val="B10"/>
    <w:locked/>
    <w:rsid w:val="004C3481"/>
    <w:rPr>
      <w:lang w:eastAsia="en-US"/>
    </w:rPr>
  </w:style>
  <w:style w:type="character" w:customStyle="1" w:styleId="B2Char">
    <w:name w:val="B2 Char"/>
    <w:link w:val="B20"/>
    <w:locked/>
    <w:rsid w:val="004C3481"/>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3481"/>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4C3481"/>
    <w:rPr>
      <w:rFonts w:ascii="Arial" w:hAnsi="Arial"/>
      <w:sz w:val="22"/>
      <w:lang w:eastAsia="en-US"/>
    </w:rPr>
  </w:style>
  <w:style w:type="character" w:customStyle="1" w:styleId="TALCar">
    <w:name w:val="TAL Car"/>
    <w:link w:val="TAL"/>
    <w:qFormat/>
    <w:rsid w:val="004C3481"/>
    <w:rPr>
      <w:rFonts w:ascii="Arial" w:hAnsi="Arial"/>
      <w:sz w:val="18"/>
      <w:lang w:eastAsia="en-US"/>
    </w:rPr>
  </w:style>
  <w:style w:type="character" w:styleId="SubtleReference">
    <w:name w:val="Subtle Reference"/>
    <w:uiPriority w:val="31"/>
    <w:qFormat/>
    <w:rsid w:val="004C3481"/>
    <w:rPr>
      <w:smallCaps/>
      <w:color w:val="5A5A5A"/>
    </w:rPr>
  </w:style>
  <w:style w:type="character" w:customStyle="1" w:styleId="TFChar">
    <w:name w:val="TF Char"/>
    <w:link w:val="TF"/>
    <w:rsid w:val="004C3481"/>
    <w:rPr>
      <w:rFonts w:ascii="Arial" w:hAnsi="Arial"/>
      <w:b/>
      <w:lang w:eastAsia="en-US"/>
    </w:rPr>
  </w:style>
  <w:style w:type="character" w:customStyle="1" w:styleId="TALChar">
    <w:name w:val="TAL Char"/>
    <w:qFormat/>
    <w:locked/>
    <w:rsid w:val="004C348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3481"/>
    <w:rPr>
      <w:rFonts w:ascii="Arial" w:hAnsi="Arial"/>
      <w:sz w:val="32"/>
      <w:lang w:eastAsia="en-US"/>
    </w:rPr>
  </w:style>
  <w:style w:type="paragraph" w:customStyle="1" w:styleId="TableText">
    <w:name w:val="TableText"/>
    <w:basedOn w:val="BodyTextIndent"/>
    <w:qFormat/>
    <w:rsid w:val="004C3481"/>
    <w:pPr>
      <w:keepNext/>
      <w:keepLines/>
      <w:snapToGrid w:val="0"/>
      <w:spacing w:after="180"/>
      <w:ind w:left="0"/>
      <w:jc w:val="center"/>
    </w:pPr>
    <w:rPr>
      <w:kern w:val="2"/>
    </w:rPr>
  </w:style>
  <w:style w:type="paragraph" w:styleId="BodyTextIndent">
    <w:name w:val="Body Text Indent"/>
    <w:basedOn w:val="Normal"/>
    <w:link w:val="BodyTextIndentChar"/>
    <w:rsid w:val="004C348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4C3481"/>
    <w:rPr>
      <w:rFonts w:eastAsia="SimSun"/>
    </w:rPr>
  </w:style>
  <w:style w:type="character" w:customStyle="1" w:styleId="EXChar">
    <w:name w:val="EX Char"/>
    <w:link w:val="EX"/>
    <w:locked/>
    <w:rsid w:val="004C3481"/>
    <w:rPr>
      <w:lang w:eastAsia="en-US"/>
    </w:rPr>
  </w:style>
  <w:style w:type="paragraph" w:customStyle="1" w:styleId="B2">
    <w:name w:val="B2+"/>
    <w:basedOn w:val="B20"/>
    <w:rsid w:val="004C348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rsid w:val="004C348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4C3481"/>
    <w:pPr>
      <w:numPr>
        <w:numId w:val="1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4C3481"/>
    <w:pPr>
      <w:numPr>
        <w:numId w:val="17"/>
      </w:numPr>
      <w:overflowPunct w:val="0"/>
      <w:autoSpaceDE w:val="0"/>
      <w:autoSpaceDN w:val="0"/>
      <w:adjustRightInd w:val="0"/>
      <w:textAlignment w:val="baseline"/>
    </w:pPr>
    <w:rPr>
      <w:rFonts w:eastAsia="MS Mincho"/>
      <w:lang w:eastAsia="en-GB"/>
    </w:rPr>
  </w:style>
  <w:style w:type="paragraph" w:customStyle="1" w:styleId="FL">
    <w:name w:val="FL"/>
    <w:basedOn w:val="Normal"/>
    <w:rsid w:val="004C348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C348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C348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4C3481"/>
    <w:rPr>
      <w:rFonts w:ascii="Arial" w:eastAsia="Malgun Gothic" w:hAnsi="Arial"/>
      <w:lang w:eastAsia="ko-KR"/>
    </w:rPr>
  </w:style>
  <w:style w:type="paragraph" w:styleId="TOCHeading">
    <w:name w:val="TOC Heading"/>
    <w:basedOn w:val="Heading1"/>
    <w:next w:val="Normal"/>
    <w:uiPriority w:val="39"/>
    <w:unhideWhenUsed/>
    <w:qFormat/>
    <w:rsid w:val="004C34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rsid w:val="004C3481"/>
    <w:rPr>
      <w:noProof/>
      <w:lang w:eastAsia="en-US"/>
    </w:rPr>
  </w:style>
  <w:style w:type="numbering" w:customStyle="1" w:styleId="NoList1">
    <w:name w:val="No List1"/>
    <w:next w:val="NoList"/>
    <w:uiPriority w:val="99"/>
    <w:semiHidden/>
    <w:unhideWhenUsed/>
    <w:rsid w:val="004C348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4C3481"/>
    <w:rPr>
      <w:rFonts w:ascii="Arial" w:hAnsi="Arial"/>
      <w:sz w:val="36"/>
      <w:lang w:eastAsia="en-US"/>
    </w:rPr>
  </w:style>
  <w:style w:type="character" w:customStyle="1" w:styleId="Heading6Char">
    <w:name w:val="Heading 6 Char"/>
    <w:aliases w:val="T1 Char,Header 6 Char"/>
    <w:link w:val="Heading6"/>
    <w:rsid w:val="004C3481"/>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C3481"/>
    <w:rPr>
      <w:rFonts w:ascii="Arial" w:hAnsi="Arial"/>
      <w:b/>
      <w:noProof/>
      <w:sz w:val="18"/>
      <w:lang w:eastAsia="ja-JP"/>
    </w:rPr>
  </w:style>
  <w:style w:type="paragraph" w:styleId="Caption">
    <w:name w:val="caption"/>
    <w:aliases w:val="cap,cap Char,Caption Char1 Char,cap Char Char1,Caption Char Char1 Char,cap Char2,3GPP Caption Table"/>
    <w:basedOn w:val="Normal"/>
    <w:next w:val="Normal"/>
    <w:link w:val="CaptionChar"/>
    <w:qFormat/>
    <w:rsid w:val="004C348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4C3481"/>
    <w:rPr>
      <w:rFonts w:eastAsia="Symbol"/>
      <w:b/>
      <w:bCs/>
      <w:sz w:val="16"/>
    </w:rPr>
  </w:style>
  <w:style w:type="character" w:customStyle="1" w:styleId="H6Char">
    <w:name w:val="H6 Char"/>
    <w:link w:val="H6"/>
    <w:rsid w:val="004C3481"/>
    <w:rPr>
      <w:rFonts w:ascii="Arial" w:hAnsi="Arial"/>
      <w:lang w:eastAsia="en-US"/>
    </w:rPr>
  </w:style>
  <w:style w:type="character" w:customStyle="1" w:styleId="fontstyle01">
    <w:name w:val="fontstyle01"/>
    <w:rsid w:val="004C348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481"/>
  </w:style>
  <w:style w:type="numbering" w:customStyle="1" w:styleId="NoList3">
    <w:name w:val="No List3"/>
    <w:next w:val="NoList"/>
    <w:uiPriority w:val="99"/>
    <w:semiHidden/>
    <w:unhideWhenUsed/>
    <w:rsid w:val="004C3481"/>
  </w:style>
  <w:style w:type="numbering" w:customStyle="1" w:styleId="NoList4">
    <w:name w:val="No List4"/>
    <w:next w:val="NoList"/>
    <w:uiPriority w:val="99"/>
    <w:semiHidden/>
    <w:unhideWhenUsed/>
    <w:rsid w:val="004C3481"/>
  </w:style>
  <w:style w:type="table" w:customStyle="1" w:styleId="TableGrid1">
    <w:name w:val="Table Grid1"/>
    <w:basedOn w:val="TableNormal"/>
    <w:next w:val="TableGrid"/>
    <w:uiPriority w:val="39"/>
    <w:rsid w:val="004C34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4C3481"/>
    <w:rPr>
      <w:rFonts w:ascii="Arial" w:hAnsi="Arial"/>
      <w:b/>
      <w:i/>
      <w:noProof/>
      <w:sz w:val="18"/>
      <w:lang w:eastAsia="ja-JP"/>
    </w:rPr>
  </w:style>
  <w:style w:type="numbering" w:customStyle="1" w:styleId="NoList5">
    <w:name w:val="No List5"/>
    <w:next w:val="NoList"/>
    <w:uiPriority w:val="99"/>
    <w:semiHidden/>
    <w:unhideWhenUsed/>
    <w:rsid w:val="004C3481"/>
  </w:style>
  <w:style w:type="character" w:customStyle="1" w:styleId="Heading7Char">
    <w:name w:val="Heading 7 Char"/>
    <w:link w:val="Heading7"/>
    <w:rsid w:val="004C3481"/>
    <w:rPr>
      <w:rFonts w:ascii="Arial" w:hAnsi="Arial"/>
      <w:lang w:eastAsia="en-US"/>
    </w:rPr>
  </w:style>
  <w:style w:type="character" w:customStyle="1" w:styleId="Heading8Char">
    <w:name w:val="Heading 8 Char"/>
    <w:link w:val="Heading8"/>
    <w:rsid w:val="004C3481"/>
    <w:rPr>
      <w:rFonts w:ascii="Arial" w:hAnsi="Arial"/>
      <w:sz w:val="36"/>
      <w:lang w:eastAsia="en-US"/>
    </w:rPr>
  </w:style>
  <w:style w:type="character" w:customStyle="1" w:styleId="Heading9Char">
    <w:name w:val="Heading 9 Char"/>
    <w:link w:val="Heading9"/>
    <w:rsid w:val="004C3481"/>
    <w:rPr>
      <w:rFonts w:ascii="Arial" w:hAnsi="Arial"/>
      <w:sz w:val="36"/>
      <w:lang w:eastAsia="en-US"/>
    </w:rPr>
  </w:style>
  <w:style w:type="table" w:customStyle="1" w:styleId="TableGrid2">
    <w:name w:val="Table Grid2"/>
    <w:basedOn w:val="TableNormal"/>
    <w:next w:val="TableGrid"/>
    <w:rsid w:val="004C348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C3481"/>
  </w:style>
  <w:style w:type="numbering" w:customStyle="1" w:styleId="NoList21">
    <w:name w:val="No List21"/>
    <w:next w:val="NoList"/>
    <w:uiPriority w:val="99"/>
    <w:semiHidden/>
    <w:unhideWhenUsed/>
    <w:rsid w:val="004C3481"/>
  </w:style>
  <w:style w:type="numbering" w:customStyle="1" w:styleId="NoList31">
    <w:name w:val="No List31"/>
    <w:next w:val="NoList"/>
    <w:uiPriority w:val="99"/>
    <w:semiHidden/>
    <w:unhideWhenUsed/>
    <w:rsid w:val="004C3481"/>
  </w:style>
  <w:style w:type="numbering" w:customStyle="1" w:styleId="NoList41">
    <w:name w:val="No List41"/>
    <w:next w:val="NoList"/>
    <w:uiPriority w:val="99"/>
    <w:semiHidden/>
    <w:unhideWhenUsed/>
    <w:rsid w:val="004C3481"/>
  </w:style>
  <w:style w:type="table" w:customStyle="1" w:styleId="TableGrid11">
    <w:name w:val="Table Grid11"/>
    <w:basedOn w:val="TableNormal"/>
    <w:next w:val="TableGrid"/>
    <w:uiPriority w:val="39"/>
    <w:rsid w:val="004C34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481"/>
  </w:style>
  <w:style w:type="table" w:customStyle="1" w:styleId="TableGrid3">
    <w:name w:val="Table Grid3"/>
    <w:basedOn w:val="TableNormal"/>
    <w:next w:val="TableGrid"/>
    <w:rsid w:val="004C348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C3481"/>
    <w:rPr>
      <w:i/>
      <w:iCs/>
    </w:rPr>
  </w:style>
  <w:style w:type="paragraph" w:customStyle="1" w:styleId="tdoc-header">
    <w:name w:val="tdoc-header"/>
    <w:rsid w:val="004C3481"/>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481"/>
    <w:rPr>
      <w:rFonts w:ascii="Arial" w:hAnsi="Arial"/>
      <w:sz w:val="32"/>
      <w:lang w:val="en-GB" w:eastAsia="en-US" w:bidi="ar-SA"/>
    </w:rPr>
  </w:style>
  <w:style w:type="paragraph" w:customStyle="1" w:styleId="References">
    <w:name w:val="References"/>
    <w:basedOn w:val="Normal"/>
    <w:rsid w:val="004C3481"/>
    <w:pPr>
      <w:numPr>
        <w:numId w:val="20"/>
      </w:numPr>
      <w:autoSpaceDE w:val="0"/>
      <w:autoSpaceDN w:val="0"/>
      <w:snapToGrid w:val="0"/>
      <w:spacing w:after="60"/>
      <w:jc w:val="both"/>
    </w:pPr>
    <w:rPr>
      <w:rFonts w:eastAsia="SimSun"/>
      <w:szCs w:val="16"/>
      <w:lang w:val="en-US"/>
    </w:rPr>
  </w:style>
  <w:style w:type="paragraph" w:customStyle="1" w:styleId="Default">
    <w:name w:val="Default"/>
    <w:rsid w:val="004C3481"/>
    <w:pPr>
      <w:autoSpaceDE w:val="0"/>
      <w:autoSpaceDN w:val="0"/>
      <w:adjustRightInd w:val="0"/>
    </w:pPr>
    <w:rPr>
      <w:rFonts w:ascii="Arial" w:eastAsia="SimSun" w:hAnsi="Arial" w:cs="Arial"/>
      <w:color w:val="000000"/>
      <w:sz w:val="24"/>
      <w:szCs w:val="24"/>
    </w:rPr>
  </w:style>
  <w:style w:type="paragraph" w:styleId="BodyText">
    <w:name w:val="Body Text"/>
    <w:basedOn w:val="Normal"/>
    <w:link w:val="BodyTextChar"/>
    <w:rsid w:val="004C3481"/>
    <w:rPr>
      <w:rFonts w:ascii="CG Times (WN)" w:eastAsia="MS Mincho" w:hAnsi="CG Times (WN)"/>
    </w:rPr>
  </w:style>
  <w:style w:type="character" w:customStyle="1" w:styleId="BodyTextChar">
    <w:name w:val="Body Text Char"/>
    <w:basedOn w:val="DefaultParagraphFont"/>
    <w:link w:val="BodyText"/>
    <w:rsid w:val="004C3481"/>
    <w:rPr>
      <w:rFonts w:ascii="CG Times (WN)" w:eastAsia="MS Mincho" w:hAnsi="CG Times (WN)"/>
      <w:lang w:eastAsia="en-US"/>
    </w:rPr>
  </w:style>
  <w:style w:type="character" w:customStyle="1" w:styleId="font4">
    <w:name w:val="font4"/>
    <w:basedOn w:val="DefaultParagraphFont"/>
    <w:qFormat/>
    <w:rsid w:val="004C3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828611">
      <w:bodyDiv w:val="1"/>
      <w:marLeft w:val="0"/>
      <w:marRight w:val="0"/>
      <w:marTop w:val="0"/>
      <w:marBottom w:val="0"/>
      <w:divBdr>
        <w:top w:val="none" w:sz="0" w:space="0" w:color="auto"/>
        <w:left w:val="none" w:sz="0" w:space="0" w:color="auto"/>
        <w:bottom w:val="none" w:sz="0" w:space="0" w:color="auto"/>
        <w:right w:val="none" w:sz="0" w:space="0" w:color="auto"/>
      </w:divBdr>
      <w:divsChild>
        <w:div w:id="2076704841">
          <w:marLeft w:val="0"/>
          <w:marRight w:val="0"/>
          <w:marTop w:val="0"/>
          <w:marBottom w:val="0"/>
          <w:divBdr>
            <w:top w:val="none" w:sz="0" w:space="0" w:color="auto"/>
            <w:left w:val="none" w:sz="0" w:space="0" w:color="auto"/>
            <w:bottom w:val="none" w:sz="0" w:space="0" w:color="auto"/>
            <w:right w:val="none" w:sz="0" w:space="0" w:color="auto"/>
          </w:divBdr>
        </w:div>
        <w:div w:id="1995253367">
          <w:marLeft w:val="0"/>
          <w:marRight w:val="0"/>
          <w:marTop w:val="0"/>
          <w:marBottom w:val="0"/>
          <w:divBdr>
            <w:top w:val="none" w:sz="0" w:space="0" w:color="auto"/>
            <w:left w:val="none" w:sz="0" w:space="0" w:color="auto"/>
            <w:bottom w:val="none" w:sz="0" w:space="0" w:color="auto"/>
            <w:right w:val="none" w:sz="0" w:space="0" w:color="auto"/>
          </w:divBdr>
        </w:div>
        <w:div w:id="812720877">
          <w:marLeft w:val="0"/>
          <w:marRight w:val="0"/>
          <w:marTop w:val="0"/>
          <w:marBottom w:val="0"/>
          <w:divBdr>
            <w:top w:val="none" w:sz="0" w:space="0" w:color="auto"/>
            <w:left w:val="none" w:sz="0" w:space="0" w:color="auto"/>
            <w:bottom w:val="none" w:sz="0" w:space="0" w:color="auto"/>
            <w:right w:val="none" w:sz="0" w:space="0" w:color="auto"/>
          </w:divBdr>
        </w:div>
        <w:div w:id="1857185583">
          <w:marLeft w:val="0"/>
          <w:marRight w:val="0"/>
          <w:marTop w:val="0"/>
          <w:marBottom w:val="0"/>
          <w:divBdr>
            <w:top w:val="none" w:sz="0" w:space="0" w:color="auto"/>
            <w:left w:val="none" w:sz="0" w:space="0" w:color="auto"/>
            <w:bottom w:val="none" w:sz="0" w:space="0" w:color="auto"/>
            <w:right w:val="none" w:sz="0" w:space="0" w:color="auto"/>
          </w:divBdr>
        </w:div>
        <w:div w:id="294141620">
          <w:marLeft w:val="0"/>
          <w:marRight w:val="0"/>
          <w:marTop w:val="0"/>
          <w:marBottom w:val="0"/>
          <w:divBdr>
            <w:top w:val="none" w:sz="0" w:space="0" w:color="auto"/>
            <w:left w:val="none" w:sz="0" w:space="0" w:color="auto"/>
            <w:bottom w:val="none" w:sz="0" w:space="0" w:color="auto"/>
            <w:right w:val="none" w:sz="0" w:space="0" w:color="auto"/>
          </w:divBdr>
        </w:div>
        <w:div w:id="542399611">
          <w:marLeft w:val="0"/>
          <w:marRight w:val="0"/>
          <w:marTop w:val="0"/>
          <w:marBottom w:val="0"/>
          <w:divBdr>
            <w:top w:val="none" w:sz="0" w:space="0" w:color="auto"/>
            <w:left w:val="none" w:sz="0" w:space="0" w:color="auto"/>
            <w:bottom w:val="none" w:sz="0" w:space="0" w:color="auto"/>
            <w:right w:val="none" w:sz="0" w:space="0" w:color="auto"/>
          </w:divBdr>
        </w:div>
        <w:div w:id="1844540521">
          <w:marLeft w:val="0"/>
          <w:marRight w:val="0"/>
          <w:marTop w:val="0"/>
          <w:marBottom w:val="0"/>
          <w:divBdr>
            <w:top w:val="none" w:sz="0" w:space="0" w:color="auto"/>
            <w:left w:val="none" w:sz="0" w:space="0" w:color="auto"/>
            <w:bottom w:val="none" w:sz="0" w:space="0" w:color="auto"/>
            <w:right w:val="none" w:sz="0" w:space="0" w:color="auto"/>
          </w:divBdr>
        </w:div>
        <w:div w:id="503324883">
          <w:marLeft w:val="0"/>
          <w:marRight w:val="0"/>
          <w:marTop w:val="0"/>
          <w:marBottom w:val="0"/>
          <w:divBdr>
            <w:top w:val="none" w:sz="0" w:space="0" w:color="auto"/>
            <w:left w:val="none" w:sz="0" w:space="0" w:color="auto"/>
            <w:bottom w:val="none" w:sz="0" w:space="0" w:color="auto"/>
            <w:right w:val="none" w:sz="0" w:space="0" w:color="auto"/>
          </w:divBdr>
        </w:div>
        <w:div w:id="1225288352">
          <w:marLeft w:val="0"/>
          <w:marRight w:val="0"/>
          <w:marTop w:val="0"/>
          <w:marBottom w:val="0"/>
          <w:divBdr>
            <w:top w:val="none" w:sz="0" w:space="0" w:color="auto"/>
            <w:left w:val="none" w:sz="0" w:space="0" w:color="auto"/>
            <w:bottom w:val="none" w:sz="0" w:space="0" w:color="auto"/>
            <w:right w:val="none" w:sz="0" w:space="0" w:color="auto"/>
          </w:divBdr>
        </w:div>
        <w:div w:id="531070628">
          <w:marLeft w:val="0"/>
          <w:marRight w:val="0"/>
          <w:marTop w:val="0"/>
          <w:marBottom w:val="0"/>
          <w:divBdr>
            <w:top w:val="none" w:sz="0" w:space="0" w:color="auto"/>
            <w:left w:val="none" w:sz="0" w:space="0" w:color="auto"/>
            <w:bottom w:val="none" w:sz="0" w:space="0" w:color="auto"/>
            <w:right w:val="none" w:sz="0" w:space="0" w:color="auto"/>
          </w:divBdr>
        </w:div>
        <w:div w:id="395974356">
          <w:marLeft w:val="0"/>
          <w:marRight w:val="0"/>
          <w:marTop w:val="0"/>
          <w:marBottom w:val="0"/>
          <w:divBdr>
            <w:top w:val="none" w:sz="0" w:space="0" w:color="auto"/>
            <w:left w:val="none" w:sz="0" w:space="0" w:color="auto"/>
            <w:bottom w:val="none" w:sz="0" w:space="0" w:color="auto"/>
            <w:right w:val="none" w:sz="0" w:space="0" w:color="auto"/>
          </w:divBdr>
        </w:div>
        <w:div w:id="1465543952">
          <w:marLeft w:val="0"/>
          <w:marRight w:val="0"/>
          <w:marTop w:val="0"/>
          <w:marBottom w:val="0"/>
          <w:divBdr>
            <w:top w:val="none" w:sz="0" w:space="0" w:color="auto"/>
            <w:left w:val="none" w:sz="0" w:space="0" w:color="auto"/>
            <w:bottom w:val="none" w:sz="0" w:space="0" w:color="auto"/>
            <w:right w:val="none" w:sz="0" w:space="0" w:color="auto"/>
          </w:divBdr>
        </w:div>
        <w:div w:id="498346286">
          <w:marLeft w:val="0"/>
          <w:marRight w:val="0"/>
          <w:marTop w:val="0"/>
          <w:marBottom w:val="0"/>
          <w:divBdr>
            <w:top w:val="none" w:sz="0" w:space="0" w:color="auto"/>
            <w:left w:val="none" w:sz="0" w:space="0" w:color="auto"/>
            <w:bottom w:val="none" w:sz="0" w:space="0" w:color="auto"/>
            <w:right w:val="none" w:sz="0" w:space="0" w:color="auto"/>
          </w:divBdr>
        </w:div>
        <w:div w:id="1887600282">
          <w:marLeft w:val="0"/>
          <w:marRight w:val="0"/>
          <w:marTop w:val="0"/>
          <w:marBottom w:val="0"/>
          <w:divBdr>
            <w:top w:val="none" w:sz="0" w:space="0" w:color="auto"/>
            <w:left w:val="none" w:sz="0" w:space="0" w:color="auto"/>
            <w:bottom w:val="none" w:sz="0" w:space="0" w:color="auto"/>
            <w:right w:val="none" w:sz="0" w:space="0" w:color="auto"/>
          </w:divBdr>
        </w:div>
        <w:div w:id="224603997">
          <w:marLeft w:val="0"/>
          <w:marRight w:val="0"/>
          <w:marTop w:val="0"/>
          <w:marBottom w:val="0"/>
          <w:divBdr>
            <w:top w:val="none" w:sz="0" w:space="0" w:color="auto"/>
            <w:left w:val="none" w:sz="0" w:space="0" w:color="auto"/>
            <w:bottom w:val="none" w:sz="0" w:space="0" w:color="auto"/>
            <w:right w:val="none" w:sz="0" w:space="0" w:color="auto"/>
          </w:divBdr>
        </w:div>
      </w:divsChild>
    </w:div>
    <w:div w:id="218714561">
      <w:bodyDiv w:val="1"/>
      <w:marLeft w:val="0"/>
      <w:marRight w:val="0"/>
      <w:marTop w:val="0"/>
      <w:marBottom w:val="0"/>
      <w:divBdr>
        <w:top w:val="none" w:sz="0" w:space="0" w:color="auto"/>
        <w:left w:val="none" w:sz="0" w:space="0" w:color="auto"/>
        <w:bottom w:val="none" w:sz="0" w:space="0" w:color="auto"/>
        <w:right w:val="none" w:sz="0" w:space="0" w:color="auto"/>
      </w:divBdr>
    </w:div>
    <w:div w:id="352389314">
      <w:bodyDiv w:val="1"/>
      <w:marLeft w:val="0"/>
      <w:marRight w:val="0"/>
      <w:marTop w:val="0"/>
      <w:marBottom w:val="0"/>
      <w:divBdr>
        <w:top w:val="none" w:sz="0" w:space="0" w:color="auto"/>
        <w:left w:val="none" w:sz="0" w:space="0" w:color="auto"/>
        <w:bottom w:val="none" w:sz="0" w:space="0" w:color="auto"/>
        <w:right w:val="none" w:sz="0" w:space="0" w:color="auto"/>
      </w:divBdr>
    </w:div>
    <w:div w:id="891421868">
      <w:bodyDiv w:val="1"/>
      <w:marLeft w:val="0"/>
      <w:marRight w:val="0"/>
      <w:marTop w:val="0"/>
      <w:marBottom w:val="0"/>
      <w:divBdr>
        <w:top w:val="none" w:sz="0" w:space="0" w:color="auto"/>
        <w:left w:val="none" w:sz="0" w:space="0" w:color="auto"/>
        <w:bottom w:val="none" w:sz="0" w:space="0" w:color="auto"/>
        <w:right w:val="none" w:sz="0" w:space="0" w:color="auto"/>
      </w:divBdr>
      <w:divsChild>
        <w:div w:id="1673527789">
          <w:marLeft w:val="0"/>
          <w:marRight w:val="0"/>
          <w:marTop w:val="0"/>
          <w:marBottom w:val="0"/>
          <w:divBdr>
            <w:top w:val="none" w:sz="0" w:space="0" w:color="auto"/>
            <w:left w:val="none" w:sz="0" w:space="0" w:color="auto"/>
            <w:bottom w:val="none" w:sz="0" w:space="0" w:color="auto"/>
            <w:right w:val="none" w:sz="0" w:space="0" w:color="auto"/>
          </w:divBdr>
        </w:div>
        <w:div w:id="2040473015">
          <w:marLeft w:val="0"/>
          <w:marRight w:val="0"/>
          <w:marTop w:val="0"/>
          <w:marBottom w:val="0"/>
          <w:divBdr>
            <w:top w:val="none" w:sz="0" w:space="0" w:color="auto"/>
            <w:left w:val="none" w:sz="0" w:space="0" w:color="auto"/>
            <w:bottom w:val="none" w:sz="0" w:space="0" w:color="auto"/>
            <w:right w:val="none" w:sz="0" w:space="0" w:color="auto"/>
          </w:divBdr>
        </w:div>
        <w:div w:id="1775587514">
          <w:marLeft w:val="0"/>
          <w:marRight w:val="0"/>
          <w:marTop w:val="0"/>
          <w:marBottom w:val="0"/>
          <w:divBdr>
            <w:top w:val="none" w:sz="0" w:space="0" w:color="auto"/>
            <w:left w:val="none" w:sz="0" w:space="0" w:color="auto"/>
            <w:bottom w:val="none" w:sz="0" w:space="0" w:color="auto"/>
            <w:right w:val="none" w:sz="0" w:space="0" w:color="auto"/>
          </w:divBdr>
        </w:div>
        <w:div w:id="406802502">
          <w:marLeft w:val="0"/>
          <w:marRight w:val="0"/>
          <w:marTop w:val="0"/>
          <w:marBottom w:val="0"/>
          <w:divBdr>
            <w:top w:val="none" w:sz="0" w:space="0" w:color="auto"/>
            <w:left w:val="none" w:sz="0" w:space="0" w:color="auto"/>
            <w:bottom w:val="none" w:sz="0" w:space="0" w:color="auto"/>
            <w:right w:val="none" w:sz="0" w:space="0" w:color="auto"/>
          </w:divBdr>
        </w:div>
        <w:div w:id="702439625">
          <w:marLeft w:val="0"/>
          <w:marRight w:val="0"/>
          <w:marTop w:val="0"/>
          <w:marBottom w:val="0"/>
          <w:divBdr>
            <w:top w:val="none" w:sz="0" w:space="0" w:color="auto"/>
            <w:left w:val="none" w:sz="0" w:space="0" w:color="auto"/>
            <w:bottom w:val="none" w:sz="0" w:space="0" w:color="auto"/>
            <w:right w:val="none" w:sz="0" w:space="0" w:color="auto"/>
          </w:divBdr>
        </w:div>
        <w:div w:id="836925053">
          <w:marLeft w:val="0"/>
          <w:marRight w:val="0"/>
          <w:marTop w:val="0"/>
          <w:marBottom w:val="0"/>
          <w:divBdr>
            <w:top w:val="none" w:sz="0" w:space="0" w:color="auto"/>
            <w:left w:val="none" w:sz="0" w:space="0" w:color="auto"/>
            <w:bottom w:val="none" w:sz="0" w:space="0" w:color="auto"/>
            <w:right w:val="none" w:sz="0" w:space="0" w:color="auto"/>
          </w:divBdr>
        </w:div>
        <w:div w:id="1215266120">
          <w:marLeft w:val="0"/>
          <w:marRight w:val="0"/>
          <w:marTop w:val="0"/>
          <w:marBottom w:val="0"/>
          <w:divBdr>
            <w:top w:val="none" w:sz="0" w:space="0" w:color="auto"/>
            <w:left w:val="none" w:sz="0" w:space="0" w:color="auto"/>
            <w:bottom w:val="none" w:sz="0" w:space="0" w:color="auto"/>
            <w:right w:val="none" w:sz="0" w:space="0" w:color="auto"/>
          </w:divBdr>
        </w:div>
        <w:div w:id="1327174316">
          <w:marLeft w:val="0"/>
          <w:marRight w:val="0"/>
          <w:marTop w:val="0"/>
          <w:marBottom w:val="0"/>
          <w:divBdr>
            <w:top w:val="none" w:sz="0" w:space="0" w:color="auto"/>
            <w:left w:val="none" w:sz="0" w:space="0" w:color="auto"/>
            <w:bottom w:val="none" w:sz="0" w:space="0" w:color="auto"/>
            <w:right w:val="none" w:sz="0" w:space="0" w:color="auto"/>
          </w:divBdr>
        </w:div>
        <w:div w:id="1613249707">
          <w:marLeft w:val="0"/>
          <w:marRight w:val="0"/>
          <w:marTop w:val="0"/>
          <w:marBottom w:val="0"/>
          <w:divBdr>
            <w:top w:val="none" w:sz="0" w:space="0" w:color="auto"/>
            <w:left w:val="none" w:sz="0" w:space="0" w:color="auto"/>
            <w:bottom w:val="none" w:sz="0" w:space="0" w:color="auto"/>
            <w:right w:val="none" w:sz="0" w:space="0" w:color="auto"/>
          </w:divBdr>
        </w:div>
        <w:div w:id="1974288089">
          <w:marLeft w:val="0"/>
          <w:marRight w:val="0"/>
          <w:marTop w:val="0"/>
          <w:marBottom w:val="0"/>
          <w:divBdr>
            <w:top w:val="none" w:sz="0" w:space="0" w:color="auto"/>
            <w:left w:val="none" w:sz="0" w:space="0" w:color="auto"/>
            <w:bottom w:val="none" w:sz="0" w:space="0" w:color="auto"/>
            <w:right w:val="none" w:sz="0" w:space="0" w:color="auto"/>
          </w:divBdr>
        </w:div>
        <w:div w:id="502814631">
          <w:marLeft w:val="0"/>
          <w:marRight w:val="0"/>
          <w:marTop w:val="0"/>
          <w:marBottom w:val="0"/>
          <w:divBdr>
            <w:top w:val="none" w:sz="0" w:space="0" w:color="auto"/>
            <w:left w:val="none" w:sz="0" w:space="0" w:color="auto"/>
            <w:bottom w:val="none" w:sz="0" w:space="0" w:color="auto"/>
            <w:right w:val="none" w:sz="0" w:space="0" w:color="auto"/>
          </w:divBdr>
        </w:div>
        <w:div w:id="1373648075">
          <w:marLeft w:val="0"/>
          <w:marRight w:val="0"/>
          <w:marTop w:val="0"/>
          <w:marBottom w:val="0"/>
          <w:divBdr>
            <w:top w:val="none" w:sz="0" w:space="0" w:color="auto"/>
            <w:left w:val="none" w:sz="0" w:space="0" w:color="auto"/>
            <w:bottom w:val="none" w:sz="0" w:space="0" w:color="auto"/>
            <w:right w:val="none" w:sz="0" w:space="0" w:color="auto"/>
          </w:divBdr>
        </w:div>
        <w:div w:id="1560701009">
          <w:marLeft w:val="0"/>
          <w:marRight w:val="0"/>
          <w:marTop w:val="0"/>
          <w:marBottom w:val="0"/>
          <w:divBdr>
            <w:top w:val="none" w:sz="0" w:space="0" w:color="auto"/>
            <w:left w:val="none" w:sz="0" w:space="0" w:color="auto"/>
            <w:bottom w:val="none" w:sz="0" w:space="0" w:color="auto"/>
            <w:right w:val="none" w:sz="0" w:space="0" w:color="auto"/>
          </w:divBdr>
        </w:div>
        <w:div w:id="185097460">
          <w:marLeft w:val="0"/>
          <w:marRight w:val="0"/>
          <w:marTop w:val="0"/>
          <w:marBottom w:val="0"/>
          <w:divBdr>
            <w:top w:val="none" w:sz="0" w:space="0" w:color="auto"/>
            <w:left w:val="none" w:sz="0" w:space="0" w:color="auto"/>
            <w:bottom w:val="none" w:sz="0" w:space="0" w:color="auto"/>
            <w:right w:val="none" w:sz="0" w:space="0" w:color="auto"/>
          </w:divBdr>
        </w:div>
        <w:div w:id="482818137">
          <w:marLeft w:val="0"/>
          <w:marRight w:val="0"/>
          <w:marTop w:val="0"/>
          <w:marBottom w:val="0"/>
          <w:divBdr>
            <w:top w:val="none" w:sz="0" w:space="0" w:color="auto"/>
            <w:left w:val="none" w:sz="0" w:space="0" w:color="auto"/>
            <w:bottom w:val="none" w:sz="0" w:space="0" w:color="auto"/>
            <w:right w:val="none" w:sz="0" w:space="0" w:color="auto"/>
          </w:divBdr>
        </w:div>
      </w:divsChild>
    </w:div>
    <w:div w:id="1193374869">
      <w:bodyDiv w:val="1"/>
      <w:marLeft w:val="0"/>
      <w:marRight w:val="0"/>
      <w:marTop w:val="0"/>
      <w:marBottom w:val="0"/>
      <w:divBdr>
        <w:top w:val="none" w:sz="0" w:space="0" w:color="auto"/>
        <w:left w:val="none" w:sz="0" w:space="0" w:color="auto"/>
        <w:bottom w:val="none" w:sz="0" w:space="0" w:color="auto"/>
        <w:right w:val="none" w:sz="0" w:space="0" w:color="auto"/>
      </w:divBdr>
      <w:divsChild>
        <w:div w:id="1309624592">
          <w:marLeft w:val="0"/>
          <w:marRight w:val="0"/>
          <w:marTop w:val="0"/>
          <w:marBottom w:val="0"/>
          <w:divBdr>
            <w:top w:val="none" w:sz="0" w:space="0" w:color="auto"/>
            <w:left w:val="none" w:sz="0" w:space="0" w:color="auto"/>
            <w:bottom w:val="none" w:sz="0" w:space="0" w:color="auto"/>
            <w:right w:val="none" w:sz="0" w:space="0" w:color="auto"/>
          </w:divBdr>
          <w:divsChild>
            <w:div w:id="1811363578">
              <w:marLeft w:val="0"/>
              <w:marRight w:val="0"/>
              <w:marTop w:val="0"/>
              <w:marBottom w:val="0"/>
              <w:divBdr>
                <w:top w:val="none" w:sz="0" w:space="0" w:color="auto"/>
                <w:left w:val="none" w:sz="0" w:space="0" w:color="auto"/>
                <w:bottom w:val="none" w:sz="0" w:space="0" w:color="auto"/>
                <w:right w:val="none" w:sz="0" w:space="0" w:color="auto"/>
              </w:divBdr>
              <w:divsChild>
                <w:div w:id="1270158390">
                  <w:marLeft w:val="0"/>
                  <w:marRight w:val="0"/>
                  <w:marTop w:val="0"/>
                  <w:marBottom w:val="0"/>
                  <w:divBdr>
                    <w:top w:val="none" w:sz="0" w:space="0" w:color="auto"/>
                    <w:left w:val="none" w:sz="0" w:space="0" w:color="auto"/>
                    <w:bottom w:val="none" w:sz="0" w:space="0" w:color="auto"/>
                    <w:right w:val="none" w:sz="0" w:space="0" w:color="auto"/>
                  </w:divBdr>
                </w:div>
              </w:divsChild>
            </w:div>
            <w:div w:id="1973437153">
              <w:marLeft w:val="0"/>
              <w:marRight w:val="0"/>
              <w:marTop w:val="0"/>
              <w:marBottom w:val="0"/>
              <w:divBdr>
                <w:top w:val="none" w:sz="0" w:space="0" w:color="auto"/>
                <w:left w:val="none" w:sz="0" w:space="0" w:color="auto"/>
                <w:bottom w:val="none" w:sz="0" w:space="0" w:color="auto"/>
                <w:right w:val="none" w:sz="0" w:space="0" w:color="auto"/>
              </w:divBdr>
              <w:divsChild>
                <w:div w:id="49218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76302">
          <w:marLeft w:val="0"/>
          <w:marRight w:val="0"/>
          <w:marTop w:val="0"/>
          <w:marBottom w:val="0"/>
          <w:divBdr>
            <w:top w:val="none" w:sz="0" w:space="0" w:color="auto"/>
            <w:left w:val="none" w:sz="0" w:space="0" w:color="auto"/>
            <w:bottom w:val="none" w:sz="0" w:space="0" w:color="auto"/>
            <w:right w:val="none" w:sz="0" w:space="0" w:color="auto"/>
          </w:divBdr>
          <w:divsChild>
            <w:div w:id="982470989">
              <w:marLeft w:val="0"/>
              <w:marRight w:val="0"/>
              <w:marTop w:val="0"/>
              <w:marBottom w:val="0"/>
              <w:divBdr>
                <w:top w:val="none" w:sz="0" w:space="0" w:color="auto"/>
                <w:left w:val="none" w:sz="0" w:space="0" w:color="auto"/>
                <w:bottom w:val="none" w:sz="0" w:space="0" w:color="auto"/>
                <w:right w:val="none" w:sz="0" w:space="0" w:color="auto"/>
              </w:divBdr>
              <w:divsChild>
                <w:div w:id="136533990">
                  <w:marLeft w:val="0"/>
                  <w:marRight w:val="0"/>
                  <w:marTop w:val="0"/>
                  <w:marBottom w:val="0"/>
                  <w:divBdr>
                    <w:top w:val="none" w:sz="0" w:space="0" w:color="auto"/>
                    <w:left w:val="none" w:sz="0" w:space="0" w:color="auto"/>
                    <w:bottom w:val="none" w:sz="0" w:space="0" w:color="auto"/>
                    <w:right w:val="none" w:sz="0" w:space="0" w:color="auto"/>
                  </w:divBdr>
                </w:div>
              </w:divsChild>
            </w:div>
            <w:div w:id="2113165012">
              <w:marLeft w:val="0"/>
              <w:marRight w:val="0"/>
              <w:marTop w:val="0"/>
              <w:marBottom w:val="0"/>
              <w:divBdr>
                <w:top w:val="none" w:sz="0" w:space="0" w:color="auto"/>
                <w:left w:val="none" w:sz="0" w:space="0" w:color="auto"/>
                <w:bottom w:val="none" w:sz="0" w:space="0" w:color="auto"/>
                <w:right w:val="none" w:sz="0" w:space="0" w:color="auto"/>
              </w:divBdr>
              <w:divsChild>
                <w:div w:id="15395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571071">
      <w:bodyDiv w:val="1"/>
      <w:marLeft w:val="0"/>
      <w:marRight w:val="0"/>
      <w:marTop w:val="0"/>
      <w:marBottom w:val="0"/>
      <w:divBdr>
        <w:top w:val="none" w:sz="0" w:space="0" w:color="auto"/>
        <w:left w:val="none" w:sz="0" w:space="0" w:color="auto"/>
        <w:bottom w:val="none" w:sz="0" w:space="0" w:color="auto"/>
        <w:right w:val="none" w:sz="0" w:space="0" w:color="auto"/>
      </w:divBdr>
      <w:divsChild>
        <w:div w:id="1647275648">
          <w:marLeft w:val="0"/>
          <w:marRight w:val="0"/>
          <w:marTop w:val="0"/>
          <w:marBottom w:val="0"/>
          <w:divBdr>
            <w:top w:val="none" w:sz="0" w:space="0" w:color="auto"/>
            <w:left w:val="none" w:sz="0" w:space="0" w:color="auto"/>
            <w:bottom w:val="none" w:sz="0" w:space="0" w:color="auto"/>
            <w:right w:val="none" w:sz="0" w:space="0" w:color="auto"/>
          </w:divBdr>
          <w:divsChild>
            <w:div w:id="995648914">
              <w:marLeft w:val="0"/>
              <w:marRight w:val="0"/>
              <w:marTop w:val="0"/>
              <w:marBottom w:val="0"/>
              <w:divBdr>
                <w:top w:val="none" w:sz="0" w:space="0" w:color="auto"/>
                <w:left w:val="none" w:sz="0" w:space="0" w:color="auto"/>
                <w:bottom w:val="none" w:sz="0" w:space="0" w:color="auto"/>
                <w:right w:val="none" w:sz="0" w:space="0" w:color="auto"/>
              </w:divBdr>
              <w:divsChild>
                <w:div w:id="1389375369">
                  <w:marLeft w:val="0"/>
                  <w:marRight w:val="0"/>
                  <w:marTop w:val="0"/>
                  <w:marBottom w:val="0"/>
                  <w:divBdr>
                    <w:top w:val="none" w:sz="0" w:space="0" w:color="auto"/>
                    <w:left w:val="none" w:sz="0" w:space="0" w:color="auto"/>
                    <w:bottom w:val="none" w:sz="0" w:space="0" w:color="auto"/>
                    <w:right w:val="none" w:sz="0" w:space="0" w:color="auto"/>
                  </w:divBdr>
                </w:div>
              </w:divsChild>
            </w:div>
            <w:div w:id="1366100305">
              <w:marLeft w:val="0"/>
              <w:marRight w:val="0"/>
              <w:marTop w:val="0"/>
              <w:marBottom w:val="0"/>
              <w:divBdr>
                <w:top w:val="none" w:sz="0" w:space="0" w:color="auto"/>
                <w:left w:val="none" w:sz="0" w:space="0" w:color="auto"/>
                <w:bottom w:val="none" w:sz="0" w:space="0" w:color="auto"/>
                <w:right w:val="none" w:sz="0" w:space="0" w:color="auto"/>
              </w:divBdr>
              <w:divsChild>
                <w:div w:id="1059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18179">
          <w:marLeft w:val="0"/>
          <w:marRight w:val="0"/>
          <w:marTop w:val="0"/>
          <w:marBottom w:val="0"/>
          <w:divBdr>
            <w:top w:val="none" w:sz="0" w:space="0" w:color="auto"/>
            <w:left w:val="none" w:sz="0" w:space="0" w:color="auto"/>
            <w:bottom w:val="none" w:sz="0" w:space="0" w:color="auto"/>
            <w:right w:val="none" w:sz="0" w:space="0" w:color="auto"/>
          </w:divBdr>
          <w:divsChild>
            <w:div w:id="114108072">
              <w:marLeft w:val="0"/>
              <w:marRight w:val="0"/>
              <w:marTop w:val="0"/>
              <w:marBottom w:val="0"/>
              <w:divBdr>
                <w:top w:val="none" w:sz="0" w:space="0" w:color="auto"/>
                <w:left w:val="none" w:sz="0" w:space="0" w:color="auto"/>
                <w:bottom w:val="none" w:sz="0" w:space="0" w:color="auto"/>
                <w:right w:val="none" w:sz="0" w:space="0" w:color="auto"/>
              </w:divBdr>
              <w:divsChild>
                <w:div w:id="1587106575">
                  <w:marLeft w:val="0"/>
                  <w:marRight w:val="0"/>
                  <w:marTop w:val="0"/>
                  <w:marBottom w:val="0"/>
                  <w:divBdr>
                    <w:top w:val="none" w:sz="0" w:space="0" w:color="auto"/>
                    <w:left w:val="none" w:sz="0" w:space="0" w:color="auto"/>
                    <w:bottom w:val="none" w:sz="0" w:space="0" w:color="auto"/>
                    <w:right w:val="none" w:sz="0" w:space="0" w:color="auto"/>
                  </w:divBdr>
                </w:div>
              </w:divsChild>
            </w:div>
            <w:div w:id="2094885883">
              <w:marLeft w:val="0"/>
              <w:marRight w:val="0"/>
              <w:marTop w:val="0"/>
              <w:marBottom w:val="0"/>
              <w:divBdr>
                <w:top w:val="none" w:sz="0" w:space="0" w:color="auto"/>
                <w:left w:val="none" w:sz="0" w:space="0" w:color="auto"/>
                <w:bottom w:val="none" w:sz="0" w:space="0" w:color="auto"/>
                <w:right w:val="none" w:sz="0" w:space="0" w:color="auto"/>
              </w:divBdr>
              <w:divsChild>
                <w:div w:id="3006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484627">
      <w:bodyDiv w:val="1"/>
      <w:marLeft w:val="0"/>
      <w:marRight w:val="0"/>
      <w:marTop w:val="0"/>
      <w:marBottom w:val="0"/>
      <w:divBdr>
        <w:top w:val="none" w:sz="0" w:space="0" w:color="auto"/>
        <w:left w:val="none" w:sz="0" w:space="0" w:color="auto"/>
        <w:bottom w:val="none" w:sz="0" w:space="0" w:color="auto"/>
        <w:right w:val="none" w:sz="0" w:space="0" w:color="auto"/>
      </w:divBdr>
      <w:divsChild>
        <w:div w:id="963855099">
          <w:marLeft w:val="0"/>
          <w:marRight w:val="0"/>
          <w:marTop w:val="0"/>
          <w:marBottom w:val="0"/>
          <w:divBdr>
            <w:top w:val="none" w:sz="0" w:space="0" w:color="auto"/>
            <w:left w:val="none" w:sz="0" w:space="0" w:color="auto"/>
            <w:bottom w:val="none" w:sz="0" w:space="0" w:color="auto"/>
            <w:right w:val="none" w:sz="0" w:space="0" w:color="auto"/>
          </w:divBdr>
        </w:div>
        <w:div w:id="924189023">
          <w:marLeft w:val="0"/>
          <w:marRight w:val="0"/>
          <w:marTop w:val="0"/>
          <w:marBottom w:val="0"/>
          <w:divBdr>
            <w:top w:val="none" w:sz="0" w:space="0" w:color="auto"/>
            <w:left w:val="none" w:sz="0" w:space="0" w:color="auto"/>
            <w:bottom w:val="none" w:sz="0" w:space="0" w:color="auto"/>
            <w:right w:val="none" w:sz="0" w:space="0" w:color="auto"/>
          </w:divBdr>
        </w:div>
        <w:div w:id="812482552">
          <w:marLeft w:val="0"/>
          <w:marRight w:val="0"/>
          <w:marTop w:val="0"/>
          <w:marBottom w:val="0"/>
          <w:divBdr>
            <w:top w:val="none" w:sz="0" w:space="0" w:color="auto"/>
            <w:left w:val="none" w:sz="0" w:space="0" w:color="auto"/>
            <w:bottom w:val="none" w:sz="0" w:space="0" w:color="auto"/>
            <w:right w:val="none" w:sz="0" w:space="0" w:color="auto"/>
          </w:divBdr>
        </w:div>
        <w:div w:id="1848714861">
          <w:marLeft w:val="0"/>
          <w:marRight w:val="0"/>
          <w:marTop w:val="0"/>
          <w:marBottom w:val="0"/>
          <w:divBdr>
            <w:top w:val="none" w:sz="0" w:space="0" w:color="auto"/>
            <w:left w:val="none" w:sz="0" w:space="0" w:color="auto"/>
            <w:bottom w:val="none" w:sz="0" w:space="0" w:color="auto"/>
            <w:right w:val="none" w:sz="0" w:space="0" w:color="auto"/>
          </w:divBdr>
        </w:div>
        <w:div w:id="1172988013">
          <w:marLeft w:val="0"/>
          <w:marRight w:val="0"/>
          <w:marTop w:val="0"/>
          <w:marBottom w:val="0"/>
          <w:divBdr>
            <w:top w:val="none" w:sz="0" w:space="0" w:color="auto"/>
            <w:left w:val="none" w:sz="0" w:space="0" w:color="auto"/>
            <w:bottom w:val="none" w:sz="0" w:space="0" w:color="auto"/>
            <w:right w:val="none" w:sz="0" w:space="0" w:color="auto"/>
          </w:divBdr>
        </w:div>
        <w:div w:id="1784416703">
          <w:marLeft w:val="0"/>
          <w:marRight w:val="0"/>
          <w:marTop w:val="0"/>
          <w:marBottom w:val="0"/>
          <w:divBdr>
            <w:top w:val="none" w:sz="0" w:space="0" w:color="auto"/>
            <w:left w:val="none" w:sz="0" w:space="0" w:color="auto"/>
            <w:bottom w:val="none" w:sz="0" w:space="0" w:color="auto"/>
            <w:right w:val="none" w:sz="0" w:space="0" w:color="auto"/>
          </w:divBdr>
        </w:div>
        <w:div w:id="1671254707">
          <w:marLeft w:val="0"/>
          <w:marRight w:val="0"/>
          <w:marTop w:val="0"/>
          <w:marBottom w:val="0"/>
          <w:divBdr>
            <w:top w:val="none" w:sz="0" w:space="0" w:color="auto"/>
            <w:left w:val="none" w:sz="0" w:space="0" w:color="auto"/>
            <w:bottom w:val="none" w:sz="0" w:space="0" w:color="auto"/>
            <w:right w:val="none" w:sz="0" w:space="0" w:color="auto"/>
          </w:divBdr>
        </w:div>
        <w:div w:id="802767450">
          <w:marLeft w:val="0"/>
          <w:marRight w:val="0"/>
          <w:marTop w:val="0"/>
          <w:marBottom w:val="0"/>
          <w:divBdr>
            <w:top w:val="none" w:sz="0" w:space="0" w:color="auto"/>
            <w:left w:val="none" w:sz="0" w:space="0" w:color="auto"/>
            <w:bottom w:val="none" w:sz="0" w:space="0" w:color="auto"/>
            <w:right w:val="none" w:sz="0" w:space="0" w:color="auto"/>
          </w:divBdr>
        </w:div>
        <w:div w:id="194124469">
          <w:marLeft w:val="0"/>
          <w:marRight w:val="0"/>
          <w:marTop w:val="0"/>
          <w:marBottom w:val="0"/>
          <w:divBdr>
            <w:top w:val="none" w:sz="0" w:space="0" w:color="auto"/>
            <w:left w:val="none" w:sz="0" w:space="0" w:color="auto"/>
            <w:bottom w:val="none" w:sz="0" w:space="0" w:color="auto"/>
            <w:right w:val="none" w:sz="0" w:space="0" w:color="auto"/>
          </w:divBdr>
        </w:div>
        <w:div w:id="744573082">
          <w:marLeft w:val="0"/>
          <w:marRight w:val="0"/>
          <w:marTop w:val="0"/>
          <w:marBottom w:val="0"/>
          <w:divBdr>
            <w:top w:val="none" w:sz="0" w:space="0" w:color="auto"/>
            <w:left w:val="none" w:sz="0" w:space="0" w:color="auto"/>
            <w:bottom w:val="none" w:sz="0" w:space="0" w:color="auto"/>
            <w:right w:val="none" w:sz="0" w:space="0" w:color="auto"/>
          </w:divBdr>
        </w:div>
        <w:div w:id="1255286227">
          <w:marLeft w:val="0"/>
          <w:marRight w:val="0"/>
          <w:marTop w:val="0"/>
          <w:marBottom w:val="0"/>
          <w:divBdr>
            <w:top w:val="none" w:sz="0" w:space="0" w:color="auto"/>
            <w:left w:val="none" w:sz="0" w:space="0" w:color="auto"/>
            <w:bottom w:val="none" w:sz="0" w:space="0" w:color="auto"/>
            <w:right w:val="none" w:sz="0" w:space="0" w:color="auto"/>
          </w:divBdr>
        </w:div>
        <w:div w:id="625624707">
          <w:marLeft w:val="0"/>
          <w:marRight w:val="0"/>
          <w:marTop w:val="0"/>
          <w:marBottom w:val="0"/>
          <w:divBdr>
            <w:top w:val="none" w:sz="0" w:space="0" w:color="auto"/>
            <w:left w:val="none" w:sz="0" w:space="0" w:color="auto"/>
            <w:bottom w:val="none" w:sz="0" w:space="0" w:color="auto"/>
            <w:right w:val="none" w:sz="0" w:space="0" w:color="auto"/>
          </w:divBdr>
        </w:div>
        <w:div w:id="1031765264">
          <w:marLeft w:val="0"/>
          <w:marRight w:val="0"/>
          <w:marTop w:val="0"/>
          <w:marBottom w:val="0"/>
          <w:divBdr>
            <w:top w:val="none" w:sz="0" w:space="0" w:color="auto"/>
            <w:left w:val="none" w:sz="0" w:space="0" w:color="auto"/>
            <w:bottom w:val="none" w:sz="0" w:space="0" w:color="auto"/>
            <w:right w:val="none" w:sz="0" w:space="0" w:color="auto"/>
          </w:divBdr>
        </w:div>
        <w:div w:id="1798258591">
          <w:marLeft w:val="0"/>
          <w:marRight w:val="0"/>
          <w:marTop w:val="0"/>
          <w:marBottom w:val="0"/>
          <w:divBdr>
            <w:top w:val="none" w:sz="0" w:space="0" w:color="auto"/>
            <w:left w:val="none" w:sz="0" w:space="0" w:color="auto"/>
            <w:bottom w:val="none" w:sz="0" w:space="0" w:color="auto"/>
            <w:right w:val="none" w:sz="0" w:space="0" w:color="auto"/>
          </w:divBdr>
        </w:div>
        <w:div w:id="1594513092">
          <w:marLeft w:val="0"/>
          <w:marRight w:val="0"/>
          <w:marTop w:val="0"/>
          <w:marBottom w:val="0"/>
          <w:divBdr>
            <w:top w:val="none" w:sz="0" w:space="0" w:color="auto"/>
            <w:left w:val="none" w:sz="0" w:space="0" w:color="auto"/>
            <w:bottom w:val="none" w:sz="0" w:space="0" w:color="auto"/>
            <w:right w:val="none" w:sz="0" w:space="0" w:color="auto"/>
          </w:divBdr>
        </w:div>
      </w:divsChild>
    </w:div>
    <w:div w:id="1777751265">
      <w:bodyDiv w:val="1"/>
      <w:marLeft w:val="0"/>
      <w:marRight w:val="0"/>
      <w:marTop w:val="0"/>
      <w:marBottom w:val="0"/>
      <w:divBdr>
        <w:top w:val="none" w:sz="0" w:space="0" w:color="auto"/>
        <w:left w:val="none" w:sz="0" w:space="0" w:color="auto"/>
        <w:bottom w:val="none" w:sz="0" w:space="0" w:color="auto"/>
        <w:right w:val="none" w:sz="0" w:space="0" w:color="auto"/>
      </w:divBdr>
      <w:divsChild>
        <w:div w:id="769591906">
          <w:marLeft w:val="0"/>
          <w:marRight w:val="0"/>
          <w:marTop w:val="0"/>
          <w:marBottom w:val="0"/>
          <w:divBdr>
            <w:top w:val="none" w:sz="0" w:space="0" w:color="auto"/>
            <w:left w:val="none" w:sz="0" w:space="0" w:color="auto"/>
            <w:bottom w:val="none" w:sz="0" w:space="0" w:color="auto"/>
            <w:right w:val="none" w:sz="0" w:space="0" w:color="auto"/>
          </w:divBdr>
          <w:divsChild>
            <w:div w:id="1397781316">
              <w:marLeft w:val="0"/>
              <w:marRight w:val="0"/>
              <w:marTop w:val="0"/>
              <w:marBottom w:val="0"/>
              <w:divBdr>
                <w:top w:val="none" w:sz="0" w:space="0" w:color="auto"/>
                <w:left w:val="none" w:sz="0" w:space="0" w:color="auto"/>
                <w:bottom w:val="none" w:sz="0" w:space="0" w:color="auto"/>
                <w:right w:val="none" w:sz="0" w:space="0" w:color="auto"/>
              </w:divBdr>
              <w:divsChild>
                <w:div w:id="75801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4B2A1-B012-314E-9C1A-B0F139243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1360</TotalTime>
  <Pages>5</Pages>
  <Words>2690</Words>
  <Characters>15334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11</cp:revision>
  <cp:lastPrinted>2019-02-25T14:05:00Z</cp:lastPrinted>
  <dcterms:created xsi:type="dcterms:W3CDTF">2020-10-15T13:53:00Z</dcterms:created>
  <dcterms:modified xsi:type="dcterms:W3CDTF">2020-10-23T17:23:00Z</dcterms:modified>
  <cp:category/>
</cp:coreProperties>
</file>